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14" w:rsidRPr="00322F03" w:rsidRDefault="005D1C14" w:rsidP="005D1C14">
      <w:pPr>
        <w:jc w:val="center"/>
      </w:pPr>
      <w:r w:rsidRPr="00322F03">
        <w:rPr>
          <w:noProof/>
        </w:rPr>
        <w:drawing>
          <wp:inline distT="0" distB="0" distL="0" distR="0" wp14:anchorId="467CBCFB" wp14:editId="3A6AD348">
            <wp:extent cx="476250" cy="657225"/>
            <wp:effectExtent l="0" t="0" r="0" b="9525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C14" w:rsidRPr="00322F03" w:rsidRDefault="005D1C14" w:rsidP="005D1C14">
      <w:pPr>
        <w:spacing w:line="360" w:lineRule="auto"/>
        <w:jc w:val="center"/>
      </w:pPr>
      <w:r w:rsidRPr="00322F03">
        <w:t>ЗАСЕДАНИЕ ВОСКРЕСЕНСКОГО МУНИЦИПАЛЬНОГО</w:t>
      </w:r>
    </w:p>
    <w:p w:rsidR="005D1C14" w:rsidRPr="00322F03" w:rsidRDefault="005D1C14" w:rsidP="005D1C14">
      <w:pPr>
        <w:spacing w:line="360" w:lineRule="auto"/>
        <w:ind w:firstLine="709"/>
        <w:jc w:val="center"/>
      </w:pPr>
      <w:r w:rsidRPr="00322F03">
        <w:t>РАЙОНА НИЖЕГОРОДСКОЙ ОБЛАСТИ</w:t>
      </w:r>
    </w:p>
    <w:p w:rsidR="005D1C14" w:rsidRPr="00322F03" w:rsidRDefault="005D1C14" w:rsidP="005D1C14">
      <w:pPr>
        <w:ind w:firstLine="709"/>
        <w:jc w:val="center"/>
      </w:pPr>
      <w:proofErr w:type="gramStart"/>
      <w:r w:rsidRPr="00322F03">
        <w:t>Р</w:t>
      </w:r>
      <w:proofErr w:type="gramEnd"/>
      <w:r w:rsidRPr="00322F03">
        <w:t xml:space="preserve"> Е Ш Е Н И Е </w:t>
      </w:r>
    </w:p>
    <w:p w:rsidR="005D1C14" w:rsidRPr="00322F03" w:rsidRDefault="005D1C14" w:rsidP="005D1C14">
      <w:pPr>
        <w:ind w:firstLine="709"/>
        <w:jc w:val="center"/>
      </w:pPr>
    </w:p>
    <w:p w:rsidR="005D1C14" w:rsidRPr="00322F03" w:rsidRDefault="005D1C14" w:rsidP="005D1C14">
      <w:pPr>
        <w:ind w:firstLine="709"/>
        <w:jc w:val="center"/>
      </w:pPr>
    </w:p>
    <w:p w:rsidR="005D1C14" w:rsidRPr="00322F03" w:rsidRDefault="005D1C14" w:rsidP="005D1C14">
      <w:pPr>
        <w:jc w:val="both"/>
      </w:pPr>
      <w:r w:rsidRPr="00322F03">
        <w:rPr>
          <w:u w:val="single"/>
        </w:rPr>
        <w:t>29 января 2016 года</w:t>
      </w:r>
      <w:r w:rsidRPr="00322F03">
        <w:tab/>
      </w:r>
      <w:r w:rsidRPr="00322F03">
        <w:tab/>
      </w:r>
      <w:r w:rsidRPr="00322F03">
        <w:tab/>
      </w:r>
      <w:r w:rsidRPr="00322F03">
        <w:tab/>
      </w:r>
      <w:r w:rsidRPr="00322F03">
        <w:tab/>
      </w:r>
      <w:r w:rsidRPr="00322F03">
        <w:tab/>
      </w:r>
      <w:r w:rsidRPr="00322F03">
        <w:tab/>
        <w:t xml:space="preserve"> </w:t>
      </w:r>
      <w:r w:rsidRPr="00322F03">
        <w:tab/>
      </w:r>
      <w:r w:rsidRPr="00322F03">
        <w:tab/>
      </w:r>
      <w:r w:rsidRPr="00322F03">
        <w:tab/>
      </w:r>
      <w:r w:rsidR="00322F03" w:rsidRPr="00322F03">
        <w:tab/>
      </w:r>
      <w:r w:rsidRPr="00322F03">
        <w:t xml:space="preserve">№ </w:t>
      </w:r>
      <w:r w:rsidR="00322F03" w:rsidRPr="00322F03">
        <w:t xml:space="preserve"> </w:t>
      </w:r>
      <w:r w:rsidR="00322F03" w:rsidRPr="00322F03">
        <w:rPr>
          <w:u w:val="single"/>
        </w:rPr>
        <w:t>7</w:t>
      </w:r>
    </w:p>
    <w:p w:rsidR="005D1C14" w:rsidRPr="00322F03" w:rsidRDefault="005D1C14" w:rsidP="005D1C14">
      <w:pPr>
        <w:jc w:val="both"/>
      </w:pPr>
    </w:p>
    <w:p w:rsidR="005D1C14" w:rsidRPr="00322F03" w:rsidRDefault="005D1C14" w:rsidP="005D1C14">
      <w:pPr>
        <w:jc w:val="both"/>
      </w:pPr>
    </w:p>
    <w:p w:rsidR="005D1C14" w:rsidRPr="00322F03" w:rsidRDefault="005D1C14" w:rsidP="005D1C14">
      <w:pPr>
        <w:ind w:firstLine="709"/>
        <w:jc w:val="center"/>
        <w:rPr>
          <w:b/>
        </w:rPr>
      </w:pPr>
      <w:r w:rsidRPr="00322F03">
        <w:rPr>
          <w:b/>
        </w:rPr>
        <w:t>Информация о состоянии транспортного обслуживания населения в Воскресенском муниципальном районе Нижегородской области</w:t>
      </w:r>
    </w:p>
    <w:p w:rsidR="005D1C14" w:rsidRPr="00322F03" w:rsidRDefault="005D1C14" w:rsidP="005D1C14">
      <w:pPr>
        <w:ind w:firstLine="709"/>
        <w:jc w:val="center"/>
        <w:rPr>
          <w:b/>
        </w:rPr>
      </w:pPr>
    </w:p>
    <w:p w:rsidR="005D1C14" w:rsidRPr="00322F03" w:rsidRDefault="005D1C14" w:rsidP="005D1C14">
      <w:pPr>
        <w:ind w:firstLine="709"/>
        <w:jc w:val="center"/>
        <w:rPr>
          <w:b/>
        </w:rPr>
      </w:pPr>
    </w:p>
    <w:p w:rsidR="005D1C14" w:rsidRPr="00322F03" w:rsidRDefault="005D1C14" w:rsidP="005D1C14">
      <w:pPr>
        <w:tabs>
          <w:tab w:val="left" w:pos="-567"/>
        </w:tabs>
        <w:spacing w:line="240" w:lineRule="atLeast"/>
        <w:ind w:firstLine="709"/>
        <w:jc w:val="both"/>
        <w:rPr>
          <w:rFonts w:eastAsia="Calibri"/>
        </w:rPr>
      </w:pPr>
      <w:r w:rsidRPr="00322F03">
        <w:rPr>
          <w:rFonts w:eastAsia="Calibri"/>
        </w:rPr>
        <w:t xml:space="preserve">В соответствии с планом работы Земского собрания Воскресенского муниципального района Нижегородской области в 2016 году заслушав и обсудив информацию директора Муниципального унитарного предприятия «Воскресенское пассажирское автопредприятие» </w:t>
      </w:r>
      <w:proofErr w:type="spellStart"/>
      <w:r w:rsidRPr="00322F03">
        <w:rPr>
          <w:rFonts w:eastAsia="Calibri"/>
        </w:rPr>
        <w:t>Е.А.Бородина</w:t>
      </w:r>
      <w:proofErr w:type="spellEnd"/>
      <w:r w:rsidRPr="00322F03">
        <w:rPr>
          <w:rFonts w:eastAsia="Calibri"/>
        </w:rPr>
        <w:t xml:space="preserve"> о состоянии транспортного обслуживания населения в районе в 2015 году,</w:t>
      </w:r>
    </w:p>
    <w:p w:rsidR="005D1C14" w:rsidRPr="00322F03" w:rsidRDefault="005D1C14" w:rsidP="005D1C14">
      <w:pPr>
        <w:tabs>
          <w:tab w:val="left" w:pos="-567"/>
        </w:tabs>
        <w:spacing w:line="240" w:lineRule="atLeast"/>
        <w:ind w:firstLine="709"/>
        <w:jc w:val="both"/>
        <w:rPr>
          <w:rFonts w:eastAsia="Calibri"/>
        </w:rPr>
      </w:pPr>
    </w:p>
    <w:p w:rsidR="005D1C14" w:rsidRPr="00322F03" w:rsidRDefault="005D1C14" w:rsidP="005D1C14">
      <w:pPr>
        <w:tabs>
          <w:tab w:val="left" w:pos="-567"/>
        </w:tabs>
        <w:spacing w:line="240" w:lineRule="atLeast"/>
        <w:ind w:firstLine="709"/>
        <w:jc w:val="both"/>
        <w:rPr>
          <w:rFonts w:eastAsia="Calibri"/>
        </w:rPr>
      </w:pPr>
    </w:p>
    <w:p w:rsidR="005D1C14" w:rsidRPr="00322F03" w:rsidRDefault="005D1C14" w:rsidP="005D1C14">
      <w:pPr>
        <w:spacing w:line="240" w:lineRule="atLeast"/>
        <w:jc w:val="center"/>
        <w:rPr>
          <w:rFonts w:eastAsia="Calibri"/>
        </w:rPr>
      </w:pPr>
      <w:r w:rsidRPr="00322F03">
        <w:rPr>
          <w:rFonts w:eastAsia="Calibri"/>
        </w:rPr>
        <w:t xml:space="preserve">Земское собрание района </w:t>
      </w:r>
      <w:r w:rsidRPr="00322F03">
        <w:rPr>
          <w:rFonts w:eastAsia="Calibri"/>
          <w:spacing w:val="80"/>
        </w:rPr>
        <w:t>решило</w:t>
      </w:r>
      <w:r w:rsidRPr="00322F03">
        <w:rPr>
          <w:rFonts w:eastAsia="Calibri"/>
        </w:rPr>
        <w:t>:</w:t>
      </w:r>
    </w:p>
    <w:p w:rsidR="005D1C14" w:rsidRPr="00322F03" w:rsidRDefault="005D1C14" w:rsidP="005D1C14">
      <w:pPr>
        <w:spacing w:line="240" w:lineRule="atLeast"/>
        <w:jc w:val="center"/>
        <w:rPr>
          <w:rFonts w:eastAsia="Calibri"/>
        </w:rPr>
      </w:pPr>
    </w:p>
    <w:p w:rsidR="005D1C14" w:rsidRPr="00322F03" w:rsidRDefault="005D1C14" w:rsidP="005D1C14">
      <w:pPr>
        <w:spacing w:line="240" w:lineRule="atLeast"/>
        <w:jc w:val="center"/>
        <w:rPr>
          <w:rFonts w:eastAsia="Calibri"/>
        </w:rPr>
      </w:pPr>
    </w:p>
    <w:p w:rsidR="005D1C14" w:rsidRPr="00322F03" w:rsidRDefault="005D1C14" w:rsidP="005D1C14">
      <w:pPr>
        <w:tabs>
          <w:tab w:val="left" w:pos="-567"/>
        </w:tabs>
        <w:spacing w:line="240" w:lineRule="atLeast"/>
        <w:ind w:firstLine="709"/>
        <w:jc w:val="both"/>
        <w:rPr>
          <w:rFonts w:eastAsia="Calibri"/>
          <w:color w:val="000000"/>
        </w:rPr>
      </w:pPr>
      <w:r w:rsidRPr="00322F03">
        <w:rPr>
          <w:rFonts w:eastAsia="Calibri"/>
        </w:rPr>
        <w:t xml:space="preserve">Информацию о состоянии транспортного обслуживания населения в Воскресенском муниципальном районе Нижегородской области </w:t>
      </w:r>
      <w:r w:rsidRPr="00322F03">
        <w:rPr>
          <w:rFonts w:eastAsia="Calibri"/>
          <w:color w:val="000000"/>
        </w:rPr>
        <w:t>принять к сведению.</w:t>
      </w:r>
    </w:p>
    <w:p w:rsidR="00322F03" w:rsidRPr="00322F03" w:rsidRDefault="00322F03" w:rsidP="005D1C14">
      <w:pPr>
        <w:tabs>
          <w:tab w:val="left" w:pos="-567"/>
        </w:tabs>
        <w:spacing w:line="240" w:lineRule="atLeast"/>
        <w:ind w:firstLine="709"/>
        <w:jc w:val="both"/>
        <w:rPr>
          <w:rFonts w:eastAsia="Calibri"/>
          <w:color w:val="000000"/>
        </w:rPr>
      </w:pPr>
    </w:p>
    <w:p w:rsidR="00322F03" w:rsidRPr="00322F03" w:rsidRDefault="00322F03" w:rsidP="005D1C14">
      <w:pPr>
        <w:tabs>
          <w:tab w:val="left" w:pos="-567"/>
        </w:tabs>
        <w:spacing w:line="240" w:lineRule="atLeast"/>
        <w:ind w:firstLine="709"/>
        <w:jc w:val="both"/>
        <w:rPr>
          <w:rFonts w:eastAsia="Calibri"/>
          <w:color w:val="000000"/>
        </w:rPr>
      </w:pPr>
    </w:p>
    <w:p w:rsidR="00322F03" w:rsidRPr="00322F03" w:rsidRDefault="00322F03" w:rsidP="00322F03">
      <w:pPr>
        <w:tabs>
          <w:tab w:val="left" w:pos="-567"/>
        </w:tabs>
        <w:spacing w:line="240" w:lineRule="atLeast"/>
        <w:jc w:val="both"/>
        <w:rPr>
          <w:rFonts w:eastAsia="Calibri"/>
          <w:color w:val="000000"/>
        </w:rPr>
      </w:pPr>
      <w:r w:rsidRPr="00322F03">
        <w:rPr>
          <w:rFonts w:eastAsia="Calibri"/>
          <w:color w:val="000000"/>
        </w:rPr>
        <w:t>Глава местного самоуправления</w:t>
      </w:r>
      <w:r w:rsidRPr="00322F03">
        <w:rPr>
          <w:rFonts w:eastAsia="Calibri"/>
          <w:color w:val="000000"/>
        </w:rPr>
        <w:tab/>
      </w:r>
      <w:r w:rsidRPr="00322F03">
        <w:rPr>
          <w:rFonts w:eastAsia="Calibri"/>
          <w:color w:val="000000"/>
        </w:rPr>
        <w:tab/>
      </w:r>
      <w:r w:rsidRPr="00322F03">
        <w:rPr>
          <w:rFonts w:eastAsia="Calibri"/>
          <w:color w:val="000000"/>
        </w:rPr>
        <w:tab/>
      </w:r>
      <w:r w:rsidRPr="00322F03">
        <w:rPr>
          <w:rFonts w:eastAsia="Calibri"/>
          <w:color w:val="000000"/>
        </w:rPr>
        <w:tab/>
      </w:r>
      <w:r w:rsidRPr="00322F03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</w:t>
      </w:r>
      <w:r w:rsidRPr="00322F03">
        <w:rPr>
          <w:rFonts w:eastAsia="Calibri"/>
          <w:color w:val="000000"/>
        </w:rPr>
        <w:tab/>
      </w:r>
      <w:proofErr w:type="spellStart"/>
      <w:r w:rsidRPr="00322F03">
        <w:rPr>
          <w:rFonts w:eastAsia="Calibri"/>
          <w:color w:val="000000"/>
        </w:rPr>
        <w:t>А.В.</w:t>
      </w:r>
      <w:proofErr w:type="gramStart"/>
      <w:r w:rsidRPr="00322F03">
        <w:rPr>
          <w:rFonts w:eastAsia="Calibri"/>
          <w:color w:val="000000"/>
        </w:rPr>
        <w:t>Безденежных</w:t>
      </w:r>
      <w:proofErr w:type="spellEnd"/>
      <w:proofErr w:type="gramEnd"/>
    </w:p>
    <w:p w:rsidR="00322F03" w:rsidRPr="00322F03" w:rsidRDefault="00322F03" w:rsidP="00322F03">
      <w:pPr>
        <w:ind w:firstLine="709"/>
        <w:jc w:val="center"/>
        <w:rPr>
          <w:b/>
        </w:rPr>
      </w:pPr>
    </w:p>
    <w:p w:rsidR="00322F03" w:rsidRPr="00322F03" w:rsidRDefault="00322F03">
      <w:pPr>
        <w:spacing w:after="200" w:line="276" w:lineRule="auto"/>
        <w:rPr>
          <w:b/>
        </w:rPr>
      </w:pPr>
      <w:r w:rsidRPr="00322F03">
        <w:rPr>
          <w:b/>
        </w:rPr>
        <w:br w:type="page"/>
      </w:r>
    </w:p>
    <w:p w:rsidR="00322F03" w:rsidRPr="00322F03" w:rsidRDefault="00322F03" w:rsidP="00322F03">
      <w:pPr>
        <w:ind w:firstLine="709"/>
        <w:jc w:val="center"/>
        <w:rPr>
          <w:b/>
        </w:rPr>
      </w:pPr>
      <w:bookmarkStart w:id="0" w:name="_GoBack"/>
      <w:bookmarkEnd w:id="0"/>
      <w:r w:rsidRPr="00322F03">
        <w:rPr>
          <w:b/>
        </w:rPr>
        <w:lastRenderedPageBreak/>
        <w:t>Информация о состоянии транспортного обслуживания населения</w:t>
      </w:r>
    </w:p>
    <w:p w:rsidR="00322F03" w:rsidRPr="00322F03" w:rsidRDefault="00322F03" w:rsidP="00322F03">
      <w:pPr>
        <w:ind w:firstLine="709"/>
        <w:jc w:val="center"/>
        <w:rPr>
          <w:b/>
        </w:rPr>
      </w:pPr>
      <w:r w:rsidRPr="00322F03">
        <w:rPr>
          <w:b/>
        </w:rPr>
        <w:t xml:space="preserve"> в Воскресенском муниципальном районе Нижегородской области</w:t>
      </w:r>
    </w:p>
    <w:p w:rsidR="00322F03" w:rsidRPr="00322F03" w:rsidRDefault="00322F03" w:rsidP="00322F03">
      <w:pPr>
        <w:ind w:firstLine="709"/>
        <w:jc w:val="center"/>
        <w:rPr>
          <w:b/>
        </w:rPr>
      </w:pPr>
    </w:p>
    <w:p w:rsidR="00322F03" w:rsidRPr="00322F03" w:rsidRDefault="00322F03" w:rsidP="00322F03">
      <w:pPr>
        <w:ind w:firstLine="567"/>
        <w:jc w:val="both"/>
        <w:rPr>
          <w:lang w:eastAsia="zh-CN"/>
        </w:rPr>
      </w:pPr>
      <w:r w:rsidRPr="00322F03">
        <w:rPr>
          <w:lang w:eastAsia="zh-CN"/>
        </w:rPr>
        <w:t xml:space="preserve"> На сегодняшний день общая протяженность маршрутной сети, обслуживаемой предприятием, составляет 811,3 км</w:t>
      </w:r>
      <w:proofErr w:type="gramStart"/>
      <w:r w:rsidRPr="00322F03">
        <w:rPr>
          <w:lang w:eastAsia="zh-CN"/>
        </w:rPr>
        <w:t>.</w:t>
      </w:r>
      <w:proofErr w:type="gramEnd"/>
      <w:r w:rsidRPr="00322F03">
        <w:rPr>
          <w:lang w:eastAsia="zh-CN"/>
        </w:rPr>
        <w:t xml:space="preserve"> </w:t>
      </w:r>
      <w:proofErr w:type="gramStart"/>
      <w:r w:rsidRPr="00322F03">
        <w:rPr>
          <w:lang w:eastAsia="zh-CN"/>
        </w:rPr>
        <w:t>и</w:t>
      </w:r>
      <w:proofErr w:type="gramEnd"/>
      <w:r w:rsidRPr="00322F03">
        <w:rPr>
          <w:lang w:eastAsia="zh-CN"/>
        </w:rPr>
        <w:t xml:space="preserve"> включает в себя 1 городской, 13 пригородных и 2 междугородних маршрута.</w:t>
      </w:r>
    </w:p>
    <w:p w:rsidR="00322F03" w:rsidRPr="00322F03" w:rsidRDefault="00322F03" w:rsidP="00322F03">
      <w:pPr>
        <w:suppressAutoHyphens/>
        <w:ind w:firstLine="567"/>
        <w:jc w:val="both"/>
        <w:rPr>
          <w:lang w:eastAsia="zh-CN"/>
        </w:rPr>
      </w:pPr>
      <w:r w:rsidRPr="00322F03">
        <w:rPr>
          <w:lang w:eastAsia="zh-CN"/>
        </w:rPr>
        <w:t xml:space="preserve">    Численность работников предприятия фактически составляет 57 человек, из них водителей -27 человек. </w:t>
      </w:r>
    </w:p>
    <w:p w:rsidR="00322F03" w:rsidRPr="00322F03" w:rsidRDefault="00322F03" w:rsidP="00322F03">
      <w:pPr>
        <w:suppressAutoHyphens/>
        <w:ind w:firstLine="567"/>
        <w:jc w:val="both"/>
        <w:rPr>
          <w:lang w:eastAsia="zh-CN"/>
        </w:rPr>
      </w:pPr>
      <w:r w:rsidRPr="00322F03">
        <w:rPr>
          <w:lang w:eastAsia="zh-CN"/>
        </w:rPr>
        <w:t xml:space="preserve">    Подвижной состав предприятия представлен 15 автобусами марки ПАЗ и четырьмя микроавтобусами </w:t>
      </w:r>
      <w:proofErr w:type="spellStart"/>
      <w:r w:rsidRPr="00322F03">
        <w:rPr>
          <w:lang w:eastAsia="zh-CN"/>
        </w:rPr>
        <w:t>ГАЗель</w:t>
      </w:r>
      <w:proofErr w:type="spellEnd"/>
      <w:r w:rsidRPr="00322F03">
        <w:rPr>
          <w:lang w:eastAsia="zh-CN"/>
        </w:rPr>
        <w:t xml:space="preserve">. Из 19 имеющихся единиц 8 единиц превысили нормативный срок эксплуатации, что является основной причиной перебоев в маршрутном сообщении. В прошедшем году на средства районного бюджета был приобретен один автобус марки ПАЗ. Приход новой техники позволил вывести на рентабельный уровень междугородние перевозки, в частности маршрут Воскресенское – Семёнов. Всего же за 4 года работы муниципального предприятия на средства районного бюджета было приобретено 7 единиц техники. </w:t>
      </w:r>
    </w:p>
    <w:p w:rsidR="00322F03" w:rsidRPr="00322F03" w:rsidRDefault="00322F03" w:rsidP="00322F03">
      <w:pPr>
        <w:suppressAutoHyphens/>
        <w:ind w:firstLine="567"/>
        <w:jc w:val="both"/>
        <w:rPr>
          <w:lang w:eastAsia="zh-CN"/>
        </w:rPr>
      </w:pPr>
      <w:r w:rsidRPr="00322F03">
        <w:rPr>
          <w:lang w:eastAsia="zh-CN"/>
        </w:rPr>
        <w:t xml:space="preserve">    По итогам 2015 года предприятием были получены доходы в размере 20537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., что на 586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 выше уровня 2014 года, из них собственных доходов 13370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., что на 401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 выше уровня 2014 года. </w:t>
      </w:r>
      <w:proofErr w:type="gramStart"/>
      <w:r w:rsidRPr="00322F03">
        <w:rPr>
          <w:lang w:eastAsia="zh-CN"/>
        </w:rPr>
        <w:t xml:space="preserve">Выпадающих доходов получено 7168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., т.е. выше </w:t>
      </w:r>
      <w:proofErr w:type="spellStart"/>
      <w:r w:rsidRPr="00322F03">
        <w:rPr>
          <w:lang w:eastAsia="zh-CN"/>
        </w:rPr>
        <w:t>прошлгоднего</w:t>
      </w:r>
      <w:proofErr w:type="spellEnd"/>
      <w:r w:rsidRPr="00322F03">
        <w:rPr>
          <w:lang w:eastAsia="zh-CN"/>
        </w:rPr>
        <w:t xml:space="preserve"> показателя  на 186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>. В декабре 2015г. на городском и междугородних маршрутах состоялось повышение тарифов на проезд.</w:t>
      </w:r>
      <w:proofErr w:type="gramEnd"/>
    </w:p>
    <w:p w:rsidR="00322F03" w:rsidRPr="00322F03" w:rsidRDefault="00322F03" w:rsidP="00322F03">
      <w:pPr>
        <w:suppressAutoHyphens/>
        <w:ind w:firstLine="567"/>
        <w:jc w:val="both"/>
        <w:rPr>
          <w:lang w:eastAsia="zh-CN"/>
        </w:rPr>
      </w:pPr>
      <w:r w:rsidRPr="00322F03">
        <w:rPr>
          <w:lang w:eastAsia="zh-CN"/>
        </w:rPr>
        <w:t xml:space="preserve">    Из отрицательных моментов следует отметить снижение объёмов продажи проездных билетов: в общей массе проездные были реализованы в количестве 3103 шт., что меньше прошлого года на 322 билета, а к уровню 2012 года снижение объёмов продаж составило 55%. То же и по объёмам поступления финансовых средств – выручка от продажи проездных падает. В данной ситуации особо важно, что удаётся повышать собираемость средств от продажи разовых билетов. От их реализации собрано 11403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., что выше уровня прошлого года на 401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 Положительной тенденцией является и рост доходов от заказных перевозок. Всего заказных перевозок было выполнено на сумму 338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., т.е. на 66% выше уровня 2014 г. </w:t>
      </w:r>
    </w:p>
    <w:p w:rsidR="00322F03" w:rsidRPr="00322F03" w:rsidRDefault="00322F03" w:rsidP="00322F03">
      <w:pPr>
        <w:suppressAutoHyphens/>
        <w:ind w:firstLine="567"/>
        <w:jc w:val="both"/>
        <w:rPr>
          <w:lang w:eastAsia="zh-CN"/>
        </w:rPr>
      </w:pPr>
      <w:r w:rsidRPr="00322F03">
        <w:rPr>
          <w:lang w:eastAsia="zh-CN"/>
        </w:rPr>
        <w:t xml:space="preserve">     Расходы предприятия составили 25429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., превысив прошлогодний уровень на 653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 Здесь повышение произошло в основном за счёт роста амортизационных отчислений (на 518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., или в 1,5 раза выше уровня 2014 г.), т.к. в конце 2014 г. – начале 2015 г.  предприятием было приобретено 4 ед. техники. Также с превышением уровня 2014 г. прошли статьи затрат: ФОТ с начислениями – на 93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 (+1%), электроэнергия – на 84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 (+33%), прочие нематериальные затраты – на 335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 (+36%). Экономии удалось достичь по затратам на запасные части (на 307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., или 35%) и горюче-смазочные материалы (на 186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>., или 2%).  Сокращения затрат на топливо предприятию удалось достигнуть впервые. Стоимость энергоносителей ежегодно повышается, рост стоимости топлива за год составил около 3 руб./литр. Однако благодаря применению экономичной дизельной техники, использованию газомоторного топлива и общего сокращения нормативов удалось снизить потребление топлива за год на 34 тонны (10%), а в сравнении с 2012 г. на 63 тонны (18%).</w:t>
      </w:r>
    </w:p>
    <w:p w:rsidR="00322F03" w:rsidRPr="00322F03" w:rsidRDefault="00322F03" w:rsidP="00322F03">
      <w:pPr>
        <w:suppressAutoHyphens/>
        <w:ind w:firstLine="567"/>
        <w:jc w:val="both"/>
        <w:rPr>
          <w:lang w:eastAsia="zh-CN"/>
        </w:rPr>
      </w:pPr>
      <w:r w:rsidRPr="00322F03">
        <w:rPr>
          <w:lang w:eastAsia="zh-CN"/>
        </w:rPr>
        <w:t xml:space="preserve">    В целом по итогам работы за год предприятие понесло убытки, возмещаемые из районного бюджета, в размере 3410,6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., сократив их в сравнении с прошлогодним периодом на 451,3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 xml:space="preserve">. (11%), а в сравнении с  2012 г. на 3236,9 </w:t>
      </w:r>
      <w:proofErr w:type="spellStart"/>
      <w:r w:rsidRPr="00322F03">
        <w:rPr>
          <w:lang w:eastAsia="zh-CN"/>
        </w:rPr>
        <w:t>т.р</w:t>
      </w:r>
      <w:proofErr w:type="spellEnd"/>
      <w:r w:rsidRPr="00322F03">
        <w:rPr>
          <w:lang w:eastAsia="zh-CN"/>
        </w:rPr>
        <w:t>. (49%), т.е. практически вдвое.</w:t>
      </w:r>
    </w:p>
    <w:p w:rsidR="005D1C14" w:rsidRPr="00322F03" w:rsidRDefault="005D1C14" w:rsidP="005D1C14">
      <w:pPr>
        <w:tabs>
          <w:tab w:val="left" w:pos="-567"/>
        </w:tabs>
        <w:spacing w:line="240" w:lineRule="atLeast"/>
        <w:ind w:firstLine="709"/>
        <w:jc w:val="both"/>
        <w:rPr>
          <w:rFonts w:eastAsia="Calibri"/>
          <w:color w:val="000000"/>
        </w:rPr>
      </w:pPr>
    </w:p>
    <w:p w:rsidR="005D1C14" w:rsidRPr="003A3883" w:rsidRDefault="00322F03" w:rsidP="005D1C14">
      <w:pPr>
        <w:tabs>
          <w:tab w:val="left" w:pos="-567"/>
        </w:tabs>
        <w:spacing w:line="240" w:lineRule="atLeast"/>
        <w:ind w:firstLine="709"/>
        <w:jc w:val="both"/>
        <w:rPr>
          <w:rFonts w:eastAsia="Calibri"/>
          <w:color w:val="000000"/>
          <w:sz w:val="22"/>
          <w:szCs w:val="22"/>
        </w:rPr>
      </w:pPr>
      <w:r w:rsidRPr="003A3883">
        <w:rPr>
          <w:noProof/>
        </w:rPr>
        <w:lastRenderedPageBreak/>
        <w:drawing>
          <wp:inline distT="0" distB="0" distL="0" distR="0" wp14:anchorId="2D02CDF8" wp14:editId="5FA47FA1">
            <wp:extent cx="5940425" cy="38963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p w:rsidR="00322F03" w:rsidRDefault="00322F03" w:rsidP="00322F03">
      <w:pPr>
        <w:pBdr>
          <w:bottom w:val="single" w:sz="12" w:space="3" w:color="auto"/>
        </w:pBdr>
        <w:spacing w:line="240" w:lineRule="atLeast"/>
        <w:ind w:left="360"/>
        <w:jc w:val="both"/>
        <w:rPr>
          <w:sz w:val="22"/>
          <w:szCs w:val="22"/>
        </w:rPr>
      </w:pPr>
    </w:p>
    <w:sectPr w:rsidR="00322F03" w:rsidSect="00322F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A5"/>
    <w:rsid w:val="000E1D3D"/>
    <w:rsid w:val="00322F03"/>
    <w:rsid w:val="005D1C14"/>
    <w:rsid w:val="007B4411"/>
    <w:rsid w:val="009C43E4"/>
    <w:rsid w:val="00B111A5"/>
    <w:rsid w:val="00B16AB9"/>
    <w:rsid w:val="00CC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C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2016-02-02T11:49:00Z</dcterms:created>
  <dcterms:modified xsi:type="dcterms:W3CDTF">2016-02-02T12:07:00Z</dcterms:modified>
</cp:coreProperties>
</file>