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8</w:t>
      </w:r>
      <w:r w:rsidR="005678AA" w:rsidRPr="004B6B23">
        <w:rPr>
          <w:rFonts w:eastAsia="Times New Roman"/>
          <w:u w:val="single"/>
        </w:rPr>
        <w:t xml:space="preserve"> </w:t>
      </w:r>
      <w:r w:rsidR="002E182E"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286C42">
        <w:rPr>
          <w:rFonts w:eastAsia="Times New Roman"/>
        </w:rPr>
        <w:t>5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286C42" w:rsidRPr="00AE3C7F" w:rsidRDefault="00286C42" w:rsidP="00286C42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7F">
        <w:rPr>
          <w:rFonts w:ascii="Times New Roman" w:hAnsi="Times New Roman" w:cs="Times New Roman"/>
          <w:b/>
          <w:sz w:val="24"/>
          <w:szCs w:val="24"/>
        </w:rPr>
        <w:t>Об утверждении ключевых показателей и их целевых значений, индикативных показателей по муниципальному жилищному контролю, осуществляемому на территории Воскресенского муниципального района Нижегородской области</w:t>
      </w:r>
    </w:p>
    <w:p w:rsidR="00286C42" w:rsidRPr="00AE3C7F" w:rsidRDefault="00286C42" w:rsidP="00286C42">
      <w:pPr>
        <w:ind w:right="-144"/>
        <w:jc w:val="center"/>
        <w:rPr>
          <w:b/>
          <w:color w:val="000000"/>
        </w:rPr>
      </w:pPr>
    </w:p>
    <w:p w:rsidR="00286C42" w:rsidRPr="00AE3C7F" w:rsidRDefault="00286C42" w:rsidP="00286C42">
      <w:pPr>
        <w:ind w:right="-144" w:firstLine="710"/>
        <w:jc w:val="both"/>
        <w:rPr>
          <w:color w:val="000000"/>
        </w:rPr>
      </w:pPr>
      <w:r w:rsidRPr="00AE3C7F">
        <w:rPr>
          <w:color w:val="000000"/>
        </w:rPr>
        <w:t xml:space="preserve">В соответствии с пунктом 5 статьи 30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AE3C7F">
        <w:t>руководствуясь Уставом Воскресенского муниципального района</w:t>
      </w:r>
      <w:r>
        <w:t xml:space="preserve"> Нижегородской области,</w:t>
      </w:r>
    </w:p>
    <w:p w:rsidR="00286C42" w:rsidRDefault="00286C42" w:rsidP="00286C42">
      <w:pPr>
        <w:ind w:right="-144"/>
        <w:jc w:val="center"/>
      </w:pPr>
    </w:p>
    <w:p w:rsidR="00286C42" w:rsidRDefault="00286C42" w:rsidP="00286C42">
      <w:pPr>
        <w:ind w:right="-144"/>
        <w:jc w:val="center"/>
      </w:pPr>
      <w:r w:rsidRPr="00AE3C7F">
        <w:t xml:space="preserve">Земское собрание района </w:t>
      </w:r>
      <w:proofErr w:type="gramStart"/>
      <w:r w:rsidRPr="00AE3C7F">
        <w:t>р</w:t>
      </w:r>
      <w:proofErr w:type="gramEnd"/>
      <w:r w:rsidRPr="00AE3C7F">
        <w:t xml:space="preserve"> е ш и л о:</w:t>
      </w:r>
    </w:p>
    <w:p w:rsidR="00286C42" w:rsidRPr="00AE3C7F" w:rsidRDefault="00286C42" w:rsidP="00286C42">
      <w:pPr>
        <w:ind w:right="-144"/>
        <w:jc w:val="center"/>
      </w:pPr>
    </w:p>
    <w:p w:rsidR="00286C42" w:rsidRPr="00AE3C7F" w:rsidRDefault="00286C42" w:rsidP="00286C42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  <w:r w:rsidRPr="00AE3C7F">
        <w:rPr>
          <w:color w:val="000000"/>
        </w:rPr>
        <w:t>1. Утвердить ключевые показатели и их целевые значения, индикативные показатели по муниципальному жилищному контролю, осуществляемому на территории Воскресенского муниципального района Нижегородской области.</w:t>
      </w:r>
    </w:p>
    <w:p w:rsidR="00286C42" w:rsidRPr="00AE3C7F" w:rsidRDefault="00286C42" w:rsidP="00286C42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  <w:r w:rsidRPr="00AE3C7F">
        <w:rPr>
          <w:color w:val="000000"/>
        </w:rPr>
        <w:t>2. </w:t>
      </w:r>
      <w:proofErr w:type="gramStart"/>
      <w:r w:rsidRPr="00AE3C7F">
        <w:rPr>
          <w:color w:val="000000"/>
        </w:rPr>
        <w:t>Разместить</w:t>
      </w:r>
      <w:proofErr w:type="gramEnd"/>
      <w:r w:rsidRPr="00AE3C7F">
        <w:rPr>
          <w:color w:val="000000"/>
        </w:rPr>
        <w:t xml:space="preserve">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286C42" w:rsidRPr="00AE3C7F" w:rsidRDefault="00286C42" w:rsidP="00286C42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  <w:r w:rsidRPr="00AE3C7F">
        <w:rPr>
          <w:color w:val="000000"/>
        </w:rPr>
        <w:t>3. </w:t>
      </w:r>
      <w:proofErr w:type="gramStart"/>
      <w:r w:rsidRPr="00AE3C7F">
        <w:rPr>
          <w:color w:val="000000"/>
        </w:rPr>
        <w:t>Контроль за</w:t>
      </w:r>
      <w:proofErr w:type="gramEnd"/>
      <w:r w:rsidRPr="00AE3C7F">
        <w:rPr>
          <w:color w:val="000000"/>
        </w:rPr>
        <w:t xml:space="preserve"> исполнением настоящего решения возложить на отдел капитального строительства и архитектуры администрации Воскресенского муниципального района Нижегородской области (</w:t>
      </w:r>
      <w:proofErr w:type="spellStart"/>
      <w:r w:rsidRPr="00AE3C7F">
        <w:rPr>
          <w:color w:val="000000"/>
        </w:rPr>
        <w:t>В.Н.Склемин</w:t>
      </w:r>
      <w:proofErr w:type="spellEnd"/>
      <w:r w:rsidRPr="00AE3C7F">
        <w:rPr>
          <w:color w:val="000000"/>
        </w:rPr>
        <w:t>).</w:t>
      </w:r>
    </w:p>
    <w:p w:rsidR="00BE747A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Pr="006239AC" w:rsidRDefault="00BE747A" w:rsidP="00BE747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6239AC">
        <w:rPr>
          <w:lang w:eastAsia="en-US"/>
        </w:rPr>
        <w:t xml:space="preserve">Председатель                                                                    </w:t>
      </w:r>
      <w:r w:rsidR="00037B74">
        <w:rPr>
          <w:lang w:eastAsia="en-US"/>
        </w:rPr>
        <w:t xml:space="preserve">  </w:t>
      </w:r>
      <w:r w:rsidRPr="006239AC">
        <w:rPr>
          <w:lang w:eastAsia="en-US"/>
        </w:rPr>
        <w:t>Глава местного самоуправления</w:t>
      </w:r>
    </w:p>
    <w:p w:rsidR="00BE747A" w:rsidRPr="006239AC" w:rsidRDefault="00BE747A" w:rsidP="00BE747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6239AC">
        <w:rPr>
          <w:lang w:eastAsia="en-US"/>
        </w:rPr>
        <w:t xml:space="preserve">Земского собрания района                 </w:t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proofErr w:type="spellStart"/>
      <w:proofErr w:type="gramStart"/>
      <w:r w:rsidRPr="006239AC">
        <w:rPr>
          <w:lang w:eastAsia="en-US"/>
        </w:rPr>
        <w:t>района</w:t>
      </w:r>
      <w:proofErr w:type="spellEnd"/>
      <w:proofErr w:type="gramEnd"/>
    </w:p>
    <w:p w:rsidR="00BE747A" w:rsidRDefault="00BE747A" w:rsidP="00BE747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6239AC">
        <w:rPr>
          <w:lang w:eastAsia="en-US"/>
        </w:rPr>
        <w:t xml:space="preserve">                                    </w:t>
      </w:r>
      <w:proofErr w:type="spellStart"/>
      <w:r w:rsidRPr="006239AC">
        <w:rPr>
          <w:lang w:eastAsia="en-US"/>
        </w:rPr>
        <w:t>В.Н.Ольнев</w:t>
      </w:r>
      <w:proofErr w:type="spellEnd"/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="00037B74">
        <w:rPr>
          <w:lang w:eastAsia="en-US"/>
        </w:rPr>
        <w:t xml:space="preserve">      </w:t>
      </w:r>
      <w:r w:rsidRPr="006239AC">
        <w:rPr>
          <w:lang w:eastAsia="en-US"/>
        </w:rPr>
        <w:t xml:space="preserve">   Н.В. Горячев</w:t>
      </w:r>
    </w:p>
    <w:p w:rsidR="00037B74" w:rsidRDefault="00037B7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BE747A" w:rsidRPr="00E1517C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Pr="00037B74" w:rsidRDefault="00BE747A" w:rsidP="00BE747A">
      <w:pPr>
        <w:ind w:right="-144"/>
        <w:jc w:val="right"/>
        <w:rPr>
          <w:b/>
        </w:rPr>
      </w:pPr>
      <w:r w:rsidRPr="00037B74">
        <w:rPr>
          <w:b/>
        </w:rPr>
        <w:t>Утверждено</w:t>
      </w:r>
    </w:p>
    <w:p w:rsidR="00BE747A" w:rsidRPr="00E1517C" w:rsidRDefault="00BE747A" w:rsidP="00BE747A">
      <w:pPr>
        <w:ind w:right="-144"/>
        <w:jc w:val="right"/>
      </w:pPr>
      <w:r w:rsidRPr="00E1517C">
        <w:t>решением Земского собрания</w:t>
      </w:r>
    </w:p>
    <w:p w:rsidR="00BE747A" w:rsidRPr="00E1517C" w:rsidRDefault="00BE747A" w:rsidP="00BE747A">
      <w:pPr>
        <w:ind w:right="-144"/>
        <w:jc w:val="right"/>
      </w:pPr>
      <w:r w:rsidRPr="00E1517C">
        <w:t>Воскресенского муниципального района</w:t>
      </w:r>
    </w:p>
    <w:p w:rsidR="00BE747A" w:rsidRPr="00E1517C" w:rsidRDefault="00BE747A" w:rsidP="00BE747A">
      <w:pPr>
        <w:ind w:right="-144"/>
        <w:jc w:val="right"/>
      </w:pPr>
      <w:r w:rsidRPr="00E1517C">
        <w:t>Нижегородской области</w:t>
      </w:r>
    </w:p>
    <w:p w:rsidR="00BE747A" w:rsidRPr="00E1517C" w:rsidRDefault="00BE747A" w:rsidP="00BE747A">
      <w:pPr>
        <w:ind w:right="-144"/>
        <w:jc w:val="right"/>
      </w:pPr>
      <w:r w:rsidRPr="00E1517C">
        <w:t>от 28 января 2022 г. №</w:t>
      </w:r>
      <w:r w:rsidR="00286C42">
        <w:t>5</w:t>
      </w:r>
    </w:p>
    <w:p w:rsidR="00BE747A" w:rsidRPr="00E1517C" w:rsidRDefault="00BE747A" w:rsidP="00BE747A">
      <w:pPr>
        <w:suppressAutoHyphens/>
        <w:ind w:firstLine="709"/>
        <w:jc w:val="center"/>
        <w:rPr>
          <w:color w:val="000000"/>
        </w:rPr>
      </w:pPr>
    </w:p>
    <w:p w:rsidR="00286C42" w:rsidRPr="00AE3C7F" w:rsidRDefault="00286C42" w:rsidP="00286C42">
      <w:pPr>
        <w:suppressAutoHyphens/>
        <w:ind w:firstLine="709"/>
        <w:jc w:val="center"/>
        <w:rPr>
          <w:b/>
          <w:color w:val="000000"/>
        </w:rPr>
      </w:pPr>
      <w:r w:rsidRPr="00AE3C7F">
        <w:rPr>
          <w:b/>
          <w:color w:val="000000"/>
        </w:rPr>
        <w:t>Ключевые показатели и их целевые значения, индикативные показатели по муниципальному жилищному контролю, осуществляемому на территории  Воскресенского муниципального района Нижегородской области</w:t>
      </w:r>
    </w:p>
    <w:p w:rsidR="00286C42" w:rsidRPr="00AE3C7F" w:rsidRDefault="00286C42" w:rsidP="00286C42">
      <w:pPr>
        <w:suppressAutoHyphens/>
        <w:ind w:firstLine="709"/>
        <w:jc w:val="center"/>
        <w:rPr>
          <w:color w:val="000000"/>
        </w:rPr>
      </w:pPr>
    </w:p>
    <w:p w:rsidR="00286C42" w:rsidRPr="00AE3C7F" w:rsidRDefault="00286C42" w:rsidP="00286C42">
      <w:pPr>
        <w:tabs>
          <w:tab w:val="left" w:pos="567"/>
        </w:tabs>
        <w:suppressAutoHyphens/>
        <w:ind w:firstLine="710"/>
        <w:jc w:val="both"/>
        <w:rPr>
          <w:color w:val="000000"/>
        </w:rPr>
      </w:pPr>
      <w:r w:rsidRPr="00AE3C7F">
        <w:rPr>
          <w:color w:val="000000"/>
        </w:rPr>
        <w:t xml:space="preserve">1. Ключевые показатели по муниципальному жилищному контролю, осуществляемому на территории </w:t>
      </w:r>
      <w:bookmarkStart w:id="0" w:name="_GoBack"/>
      <w:bookmarkEnd w:id="0"/>
      <w:r w:rsidRPr="00AE3C7F">
        <w:rPr>
          <w:color w:val="000000"/>
        </w:rPr>
        <w:t xml:space="preserve">Воскресенского муниципального района Нижегородской области и их целевые значения: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3214"/>
      </w:tblGrid>
      <w:tr w:rsidR="00286C42" w:rsidRPr="00AE3C7F" w:rsidTr="00286C42">
        <w:trPr>
          <w:trHeight w:val="444"/>
        </w:trPr>
        <w:tc>
          <w:tcPr>
            <w:tcW w:w="7160" w:type="dxa"/>
            <w:shd w:val="clear" w:color="auto" w:fill="auto"/>
          </w:tcPr>
          <w:p w:rsidR="00286C42" w:rsidRPr="00AE3C7F" w:rsidRDefault="00286C42" w:rsidP="00877666">
            <w:pPr>
              <w:suppressAutoHyphens/>
              <w:ind w:left="176"/>
              <w:jc w:val="center"/>
            </w:pPr>
            <w:r w:rsidRPr="00AE3C7F">
              <w:t>Ключевые показатели</w:t>
            </w:r>
          </w:p>
        </w:tc>
        <w:tc>
          <w:tcPr>
            <w:tcW w:w="3214" w:type="dxa"/>
            <w:shd w:val="clear" w:color="auto" w:fill="auto"/>
          </w:tcPr>
          <w:p w:rsidR="00286C42" w:rsidRPr="00AE3C7F" w:rsidRDefault="00286C42" w:rsidP="00877666">
            <w:pPr>
              <w:suppressAutoHyphens/>
              <w:jc w:val="center"/>
            </w:pPr>
            <w:r w:rsidRPr="00AE3C7F">
              <w:t>Целевые значения</w:t>
            </w:r>
            <w:proofErr w:type="gramStart"/>
            <w:r w:rsidRPr="00AE3C7F">
              <w:t xml:space="preserve"> (%)</w:t>
            </w:r>
            <w:proofErr w:type="gramEnd"/>
          </w:p>
        </w:tc>
      </w:tr>
      <w:tr w:rsidR="00286C42" w:rsidRPr="00AE3C7F" w:rsidTr="00286C42">
        <w:trPr>
          <w:trHeight w:val="1632"/>
        </w:trPr>
        <w:tc>
          <w:tcPr>
            <w:tcW w:w="7160" w:type="dxa"/>
            <w:shd w:val="clear" w:color="auto" w:fill="auto"/>
          </w:tcPr>
          <w:p w:rsidR="00286C42" w:rsidRPr="00AE3C7F" w:rsidRDefault="00286C42" w:rsidP="00877666">
            <w:pPr>
              <w:suppressAutoHyphens/>
            </w:pPr>
            <w:r w:rsidRPr="00AE3C7F">
              <w:rPr>
                <w:lang w:eastAsia="ar-SA"/>
              </w:rPr>
              <w:t>Сумма перерасчета незаконно начисленной платы гражданам, юридическим лицам, индивидуальным предпринимателям, государству в отчетном периоде в результате нарушений обязательных требований организациями, осуществляющими предоставление жилищно-коммунальных услуг собственникам и пользователям помещений в многоквартирных домах и жилых домах</w:t>
            </w:r>
          </w:p>
        </w:tc>
        <w:tc>
          <w:tcPr>
            <w:tcW w:w="3214" w:type="dxa"/>
            <w:shd w:val="clear" w:color="auto" w:fill="auto"/>
          </w:tcPr>
          <w:p w:rsidR="00286C42" w:rsidRPr="00AE3C7F" w:rsidRDefault="00286C42" w:rsidP="00877666">
            <w:pPr>
              <w:suppressAutoHyphens/>
              <w:jc w:val="center"/>
            </w:pPr>
            <w:r w:rsidRPr="00AE3C7F">
              <w:t>0</w:t>
            </w:r>
          </w:p>
        </w:tc>
      </w:tr>
    </w:tbl>
    <w:p w:rsidR="00286C42" w:rsidRPr="00AE3C7F" w:rsidRDefault="00286C42" w:rsidP="00286C42">
      <w:pPr>
        <w:suppressAutoHyphens/>
        <w:ind w:firstLine="710"/>
        <w:jc w:val="both"/>
        <w:rPr>
          <w:color w:val="000000"/>
        </w:rPr>
      </w:pPr>
      <w:r w:rsidRPr="00AE3C7F">
        <w:rPr>
          <w:color w:val="000000"/>
        </w:rPr>
        <w:t xml:space="preserve">2. Индикативные показатели по муниципальному жилищному контролю, осуществляемому на территории  Воскресенского муниципального района Нижегородской области: 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1) Количество внеплановых контрольных мероприятий, проведенных за отчетный период;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2) Количество контрольных мероприятий с взаимодействием, проведенных за отчетный период;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3) 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4) Количество обязательных профилактических визитов, проведенных за отчетный период;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5) Количество предостережений о недопустимости нарушения обязательных требований, объявленных за отчетный период;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6) 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7) 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8) Сумма административных штрафов, наложенных по результатам контрольных мероприятий, за отчетный период;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9)</w:t>
      </w:r>
      <w:r w:rsidRPr="00AE3C7F">
        <w:rPr>
          <w:lang w:val="en-US"/>
        </w:rPr>
        <w:t> </w:t>
      </w:r>
      <w:r w:rsidRPr="00AE3C7F"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10) 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11) 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86C42" w:rsidRPr="00AE3C7F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12) 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E747A" w:rsidRPr="00E1517C" w:rsidRDefault="00286C42" w:rsidP="00286C42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AE3C7F">
        <w:t>13) 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sectPr w:rsidR="00BE747A" w:rsidRPr="00E1517C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59" w:rsidRDefault="00A97759" w:rsidP="00751805">
      <w:r>
        <w:separator/>
      </w:r>
    </w:p>
  </w:endnote>
  <w:endnote w:type="continuationSeparator" w:id="0">
    <w:p w:rsidR="00A97759" w:rsidRDefault="00A9775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59" w:rsidRDefault="00A97759" w:rsidP="00751805">
      <w:r>
        <w:separator/>
      </w:r>
    </w:p>
  </w:footnote>
  <w:footnote w:type="continuationSeparator" w:id="0">
    <w:p w:rsidR="00A97759" w:rsidRDefault="00A97759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B74"/>
    <w:rsid w:val="00037C27"/>
    <w:rsid w:val="00053D6B"/>
    <w:rsid w:val="00054B80"/>
    <w:rsid w:val="00087FE9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86C42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076C"/>
    <w:rsid w:val="006319E0"/>
    <w:rsid w:val="00641D47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0B4B"/>
    <w:rsid w:val="008443C8"/>
    <w:rsid w:val="00847E48"/>
    <w:rsid w:val="00851FB3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363D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97759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E747A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13580"/>
    <w:rsid w:val="00D32E57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830B9"/>
    <w:rsid w:val="00FA100C"/>
    <w:rsid w:val="00FA7E71"/>
    <w:rsid w:val="00FC2D49"/>
    <w:rsid w:val="00FC56D0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BE747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BE747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C68F-BF1F-44EE-A147-AB7A9A99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2022-01-31T09:00:00Z</cp:lastPrinted>
  <dcterms:created xsi:type="dcterms:W3CDTF">2022-01-31T09:04:00Z</dcterms:created>
  <dcterms:modified xsi:type="dcterms:W3CDTF">2022-01-31T09:04:00Z</dcterms:modified>
</cp:coreProperties>
</file>