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B3" w:rsidRDefault="00C46BB3" w:rsidP="00C46BB3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ПОСЕЛКОВЫЙ СОВЕТ Р.П. ВОСКРЕСЕНСКОЕ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C46BB3" w:rsidRDefault="00C46BB3" w:rsidP="00C46BB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РЕШЕНИЕ</w:t>
      </w:r>
    </w:p>
    <w:p w:rsidR="00C46BB3" w:rsidRDefault="00B17A1E" w:rsidP="00C46BB3">
      <w:pPr>
        <w:tabs>
          <w:tab w:val="left" w:pos="8080"/>
        </w:tabs>
        <w:jc w:val="center"/>
        <w:rPr>
          <w:bCs/>
        </w:rPr>
      </w:pPr>
      <w:r>
        <w:rPr>
          <w:bCs/>
        </w:rPr>
        <w:t xml:space="preserve">1 ноября 2018 года </w:t>
      </w:r>
      <w:r>
        <w:rPr>
          <w:bCs/>
        </w:rPr>
        <w:tab/>
        <w:t>№ 42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О внесении изменений в решение поселкового Совета р.п.Воскресенское от 20.10.2017 г. №33 «Об утверждении Правил благоустройства </w:t>
      </w:r>
      <w:r>
        <w:rPr>
          <w:b/>
          <w:sz w:val="32"/>
          <w:szCs w:val="32"/>
        </w:rPr>
        <w:t>территории р.п. Воскресенское»</w:t>
      </w:r>
    </w:p>
    <w:p w:rsidR="00C46BB3" w:rsidRDefault="00C46BB3" w:rsidP="00C46BB3">
      <w:pPr>
        <w:jc w:val="center"/>
        <w:rPr>
          <w:b/>
          <w:sz w:val="32"/>
          <w:szCs w:val="32"/>
        </w:rPr>
      </w:pPr>
    </w:p>
    <w:p w:rsidR="00C46BB3" w:rsidRDefault="00C46BB3" w:rsidP="00B81610">
      <w:pPr>
        <w:ind w:firstLine="567"/>
        <w:jc w:val="both"/>
        <w:rPr>
          <w:b/>
          <w:spacing w:val="60"/>
        </w:rPr>
      </w:pPr>
      <w: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105E48">
          <w:rPr>
            <w:rStyle w:val="a3"/>
            <w:color w:val="auto"/>
            <w:u w:val="none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13 апреля 2017 г. N 711/пр,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на основании протеста прокуратур</w:t>
      </w:r>
      <w:r w:rsidR="0067141D">
        <w:t>ы В</w:t>
      </w:r>
      <w:r w:rsidR="0098016E">
        <w:t>оскресенского района от 28.09.2018</w:t>
      </w:r>
      <w:r>
        <w:t xml:space="preserve"> г. поселковый Совет р.п. Воскресенское </w:t>
      </w:r>
      <w:r>
        <w:rPr>
          <w:b/>
          <w:spacing w:val="60"/>
        </w:rPr>
        <w:t>решил:</w:t>
      </w:r>
    </w:p>
    <w:p w:rsidR="00C46BB3" w:rsidRDefault="00C46BB3" w:rsidP="00B81610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>
        <w:t xml:space="preserve">1.Внести следующие изменения в </w:t>
      </w:r>
      <w:r>
        <w:rPr>
          <w:rFonts w:eastAsia="Arial"/>
        </w:rPr>
        <w:t xml:space="preserve">Правила благоустройства </w:t>
      </w:r>
      <w:r>
        <w:t>территории р.п. Воскресенское, утвержденные решением поселкового Совета р.п.Воскресенское от 20.10.2017 г. №33:</w:t>
      </w:r>
    </w:p>
    <w:p w:rsidR="000B6C8D" w:rsidRDefault="000B6C8D" w:rsidP="000B6C8D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Cs/>
        </w:rPr>
        <w:t>1.1.</w:t>
      </w:r>
      <w:r w:rsidR="00836A50">
        <w:t>Г</w:t>
      </w:r>
      <w:r w:rsidR="00836A50">
        <w:rPr>
          <w:bCs/>
        </w:rPr>
        <w:t>лаву</w:t>
      </w:r>
      <w:r w:rsidRPr="0098016E">
        <w:rPr>
          <w:bCs/>
        </w:rPr>
        <w:t xml:space="preserve"> </w:t>
      </w:r>
      <w:r w:rsidRPr="0098016E">
        <w:rPr>
          <w:bCs/>
          <w:lang w:val="en-US"/>
        </w:rPr>
        <w:t>VI</w:t>
      </w:r>
      <w:r>
        <w:rPr>
          <w:bCs/>
        </w:rPr>
        <w:t xml:space="preserve"> </w:t>
      </w:r>
      <w:r w:rsidR="00836A50">
        <w:rPr>
          <w:rFonts w:eastAsia="Arial"/>
        </w:rPr>
        <w:t xml:space="preserve">Правил благоустройства </w:t>
      </w:r>
      <w:r w:rsidR="00836A50">
        <w:t xml:space="preserve">территории р.п. Воскресенское изложить в </w:t>
      </w:r>
      <w:r w:rsidR="00105E48">
        <w:t xml:space="preserve">новой </w:t>
      </w:r>
      <w:r w:rsidR="00836A50">
        <w:t>редакции:</w:t>
      </w:r>
    </w:p>
    <w:p w:rsidR="00836A50" w:rsidRPr="00836A50" w:rsidRDefault="00836A50" w:rsidP="00105E48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  <w:r w:rsidRPr="00836A50">
        <w:rPr>
          <w:bCs/>
        </w:rPr>
        <w:t xml:space="preserve">« </w:t>
      </w:r>
      <w:r>
        <w:rPr>
          <w:b/>
          <w:bCs/>
        </w:rPr>
        <w:t xml:space="preserve">                  </w:t>
      </w:r>
      <w:r w:rsidRPr="00836A50">
        <w:rPr>
          <w:b/>
          <w:bCs/>
          <w:lang w:val="en-US"/>
        </w:rPr>
        <w:t>VI</w:t>
      </w:r>
      <w:r w:rsidRPr="00836A50">
        <w:rPr>
          <w:b/>
          <w:bCs/>
        </w:rPr>
        <w:t>.</w:t>
      </w:r>
      <w:r w:rsidR="00E75A5F">
        <w:rPr>
          <w:b/>
        </w:rPr>
        <w:t xml:space="preserve"> </w:t>
      </w:r>
      <w:r w:rsidRPr="00836A50">
        <w:rPr>
          <w:b/>
          <w:bCs/>
          <w:color w:val="222222"/>
        </w:rPr>
        <w:t>Формы и механизмы общественного участия в принятии</w:t>
      </w:r>
      <w:r w:rsidR="00105E48">
        <w:rPr>
          <w:b/>
          <w:bCs/>
          <w:color w:val="222222"/>
        </w:rPr>
        <w:t xml:space="preserve"> </w:t>
      </w:r>
      <w:r w:rsidRPr="00836A50">
        <w:rPr>
          <w:b/>
          <w:bCs/>
          <w:color w:val="222222"/>
        </w:rPr>
        <w:t>решений и реализации проектов комплексного благоустройства</w:t>
      </w:r>
      <w:r w:rsidR="00105E48">
        <w:rPr>
          <w:b/>
          <w:bCs/>
          <w:color w:val="222222"/>
        </w:rPr>
        <w:t xml:space="preserve"> </w:t>
      </w:r>
      <w:r w:rsidRPr="00836A50">
        <w:rPr>
          <w:b/>
          <w:bCs/>
          <w:color w:val="222222"/>
        </w:rPr>
        <w:t>и развития городской среды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>
        <w:rPr>
          <w:rFonts w:eastAsia="Calibri"/>
        </w:rPr>
        <w:t>1</w:t>
      </w:r>
      <w:r w:rsidRPr="00836A50">
        <w:rPr>
          <w:rFonts w:eastAsia="Calibri"/>
          <w:color w:val="222222"/>
        </w:rPr>
        <w:t>. Задачи, эффективность и формы общественного участия.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>
        <w:rPr>
          <w:rFonts w:eastAsia="Calibri"/>
        </w:rPr>
        <w:t>1.1</w:t>
      </w:r>
      <w:r w:rsidR="00105E48">
        <w:rPr>
          <w:rFonts w:eastAsia="Calibri"/>
          <w:color w:val="222222"/>
        </w:rPr>
        <w:t>.</w:t>
      </w:r>
      <w:r w:rsidRPr="00836A50">
        <w:rPr>
          <w:rFonts w:eastAsia="Calibri"/>
          <w:color w:val="222222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>
        <w:rPr>
          <w:rFonts w:eastAsia="Calibri"/>
        </w:rPr>
        <w:t>1.2</w:t>
      </w:r>
      <w:r w:rsidRPr="00836A50">
        <w:rPr>
          <w:rFonts w:eastAsia="Calibri"/>
          <w:color w:val="222222"/>
        </w:rPr>
        <w:t>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>
        <w:rPr>
          <w:rFonts w:eastAsia="Calibri"/>
        </w:rPr>
        <w:t>1.3</w:t>
      </w:r>
      <w:r w:rsidR="00105E48">
        <w:rPr>
          <w:rFonts w:eastAsia="Calibri"/>
          <w:color w:val="222222"/>
        </w:rPr>
        <w:t>.</w:t>
      </w:r>
      <w:r w:rsidRPr="00836A50">
        <w:rPr>
          <w:rFonts w:eastAsia="Calibri"/>
          <w:color w:val="222222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836A50" w:rsidRPr="00836A50" w:rsidRDefault="00105E48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>
        <w:rPr>
          <w:rFonts w:eastAsia="Calibri"/>
          <w:color w:val="222222"/>
        </w:rPr>
        <w:t>1.4.</w:t>
      </w:r>
      <w:r w:rsidR="00836A50" w:rsidRPr="00836A50">
        <w:rPr>
          <w:rFonts w:eastAsia="Calibri"/>
          <w:color w:val="222222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lastRenderedPageBreak/>
        <w:t>2. Основные решения.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б) разработка внутренних правил, регулирующих процесс общественного участия;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2.1. 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2.3. 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2.5. 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3. Формы общественного участия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 xml:space="preserve"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</w:t>
      </w:r>
      <w:r w:rsidRPr="00836A50">
        <w:rPr>
          <w:rFonts w:eastAsia="Calibri"/>
          <w:color w:val="222222"/>
        </w:rPr>
        <w:lastRenderedPageBreak/>
        <w:t>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г) консультации в выборе типов покрытий, с учетом функционального зонирования территории;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д) консультации по предполагаемым типам озеленения;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е) консультации по предполагаемым типам освещения и осветительного оборудования;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3.2.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3.3. Информирование может осуществляться путем: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а) создания единого информационного интернет-ресурса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д) индивидуальных приглашений участников встречи лично, по электронной почте или по телефону;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lastRenderedPageBreak/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 Механизмы общественного участия.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 xml:space="preserve">4.1.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</w:t>
      </w:r>
      <w:r w:rsidRPr="00836A50">
        <w:rPr>
          <w:rFonts w:eastAsia="Calibri"/>
        </w:rPr>
        <w:t>N </w:t>
      </w:r>
      <w:hyperlink r:id="rId7" w:history="1">
        <w:r w:rsidRPr="00836A50">
          <w:rPr>
            <w:rFonts w:eastAsia="Calibri"/>
            <w:color w:val="0000FF"/>
            <w:u w:val="single"/>
            <w:bdr w:val="none" w:sz="0" w:space="0" w:color="auto" w:frame="1"/>
          </w:rPr>
          <w:t>212-ФЗ</w:t>
        </w:r>
      </w:hyperlink>
      <w:r w:rsidRPr="00836A50">
        <w:rPr>
          <w:rFonts w:eastAsia="Calibri"/>
          <w:color w:val="222222"/>
        </w:rPr>
        <w:t> "Об основах общественного контроля в Российской Федерации".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4.2.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4.4. 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4.5. По итогам встреч, проектных семинаров, воркшопов, дизайн-игр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4.7. Общественный контроль является одним из механизмов общественного участия.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4.8. 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836A50" w:rsidRPr="00C66D79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b/>
          <w:color w:val="222222"/>
        </w:rPr>
      </w:pPr>
      <w:r w:rsidRPr="00836A50">
        <w:rPr>
          <w:rFonts w:eastAsia="Calibri"/>
          <w:color w:val="222222"/>
        </w:rPr>
        <w:t xml:space="preserve">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2D515D">
        <w:rPr>
          <w:rFonts w:eastAsia="Calibri"/>
          <w:color w:val="222222"/>
        </w:rPr>
        <w:t xml:space="preserve"> </w:t>
      </w:r>
      <w:bookmarkStart w:id="0" w:name="_GoBack"/>
      <w:r w:rsidR="002D515D" w:rsidRPr="00C66D79">
        <w:rPr>
          <w:rFonts w:eastAsia="Calibri"/>
          <w:b/>
          <w:color w:val="222222"/>
        </w:rPr>
        <w:t xml:space="preserve">администрацию р.п.Воскресенское </w:t>
      </w:r>
      <w:r w:rsidRPr="00C66D79">
        <w:rPr>
          <w:rFonts w:eastAsia="Calibri"/>
          <w:b/>
          <w:color w:val="222222"/>
        </w:rPr>
        <w:t>и (или) на интерактивный портал в сети Интернет.</w:t>
      </w:r>
    </w:p>
    <w:bookmarkEnd w:id="0"/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 xml:space="preserve">5.1.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</w:t>
      </w:r>
      <w:r w:rsidRPr="00836A50">
        <w:rPr>
          <w:rFonts w:eastAsia="Calibri"/>
          <w:color w:val="222222"/>
        </w:rPr>
        <w:lastRenderedPageBreak/>
        <w:t>учетом интересов лиц, осуществляющих предпринимательскую деятельность, в том числе с привлечением их к участию.</w:t>
      </w:r>
    </w:p>
    <w:p w:rsidR="00836A50" w:rsidRPr="00836A50" w:rsidRDefault="0023277D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>
        <w:rPr>
          <w:rFonts w:eastAsia="Calibri"/>
          <w:color w:val="222222"/>
        </w:rPr>
        <w:t>5.2.</w:t>
      </w:r>
      <w:r w:rsidR="00836A50" w:rsidRPr="00836A50">
        <w:rPr>
          <w:rFonts w:eastAsia="Calibri"/>
          <w:color w:val="222222"/>
        </w:rPr>
        <w:t>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а) в создании и предоставлении разного рода услуг и сервисов для посетителей общественных пространств;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в) в строительстве, реконструкции, реставрации объектов недвижимости;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г) в производстве или размещении элементов благоустройства;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з) в иных формах.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5.3.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8016E" w:rsidRPr="00836A50" w:rsidRDefault="0023277D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>
        <w:rPr>
          <w:rFonts w:eastAsia="Calibri"/>
        </w:rPr>
        <w:t>5.4.</w:t>
      </w:r>
      <w:r w:rsidR="00836A50" w:rsidRPr="00836A50">
        <w:rPr>
          <w:rFonts w:eastAsia="Calibri"/>
        </w:rPr>
        <w:t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благоустройства.»</w:t>
      </w:r>
    </w:p>
    <w:p w:rsidR="00C46BB3" w:rsidRPr="00B81610" w:rsidRDefault="00C46BB3" w:rsidP="00836A5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610">
        <w:rPr>
          <w:rFonts w:ascii="Times New Roman" w:hAnsi="Times New Roman" w:cs="Times New Roman"/>
          <w:sz w:val="24"/>
          <w:szCs w:val="24"/>
        </w:rPr>
        <w:t xml:space="preserve">2.Обнародовать настоящее решение </w:t>
      </w:r>
      <w:r w:rsidRPr="00B81610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 администрации Воскресенского района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81610">
        <w:rPr>
          <w:rFonts w:ascii="Times New Roman" w:hAnsi="Times New Roman" w:cs="Times New Roman"/>
          <w:sz w:val="24"/>
          <w:szCs w:val="24"/>
        </w:rPr>
        <w:t>://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1610">
        <w:rPr>
          <w:rFonts w:ascii="Times New Roman" w:hAnsi="Times New Roman" w:cs="Times New Roman"/>
          <w:sz w:val="24"/>
          <w:szCs w:val="24"/>
        </w:rPr>
        <w:t xml:space="preserve">.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r w:rsidRPr="00B81610">
        <w:rPr>
          <w:rFonts w:ascii="Times New Roman" w:hAnsi="Times New Roman" w:cs="Times New Roman"/>
          <w:sz w:val="24"/>
          <w:szCs w:val="24"/>
        </w:rPr>
        <w:t>-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</w:p>
    <w:p w:rsidR="00C46BB3" w:rsidRDefault="00C46BB3" w:rsidP="00836A50">
      <w:pPr>
        <w:spacing w:line="240" w:lineRule="atLeast"/>
        <w:ind w:firstLine="567"/>
        <w:jc w:val="both"/>
        <w:rPr>
          <w:bCs/>
        </w:rPr>
      </w:pPr>
      <w:r>
        <w:rPr>
          <w:bCs/>
        </w:rPr>
        <w:t>3.Настоящеее решение вступает в силу со дня его  обнародования.</w:t>
      </w:r>
    </w:p>
    <w:p w:rsidR="00C46BB3" w:rsidRDefault="00C46BB3" w:rsidP="00836A50">
      <w:pPr>
        <w:spacing w:line="240" w:lineRule="atLeast"/>
        <w:ind w:firstLine="567"/>
        <w:jc w:val="both"/>
      </w:pPr>
      <w:r>
        <w:rPr>
          <w:bCs/>
        </w:rPr>
        <w:t>4.Контроль за выполнением настоящего решения оставляю за собой.</w:t>
      </w: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spacing w:line="240" w:lineRule="atLeast"/>
        <w:ind w:firstLine="567"/>
      </w:pPr>
      <w:r>
        <w:t>Глава местного самоуправления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С.И.Доронин</w:t>
      </w:r>
    </w:p>
    <w:sectPr w:rsidR="00C46BB3" w:rsidSect="002327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7"/>
    <w:rsid w:val="000B6C8D"/>
    <w:rsid w:val="00105E48"/>
    <w:rsid w:val="0023277D"/>
    <w:rsid w:val="002D515D"/>
    <w:rsid w:val="00347008"/>
    <w:rsid w:val="00355CB4"/>
    <w:rsid w:val="005A0E24"/>
    <w:rsid w:val="006003F6"/>
    <w:rsid w:val="0067141D"/>
    <w:rsid w:val="00836A50"/>
    <w:rsid w:val="0098016E"/>
    <w:rsid w:val="009D75C7"/>
    <w:rsid w:val="00A70D47"/>
    <w:rsid w:val="00B17A1E"/>
    <w:rsid w:val="00B81610"/>
    <w:rsid w:val="00C46BB3"/>
    <w:rsid w:val="00C66D79"/>
    <w:rsid w:val="00DA178C"/>
    <w:rsid w:val="00E75A5F"/>
    <w:rsid w:val="00EC5A9C"/>
    <w:rsid w:val="00E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1.07.2014-N-212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cp:lastPrinted>2018-10-30T11:33:00Z</cp:lastPrinted>
  <dcterms:created xsi:type="dcterms:W3CDTF">2018-10-30T07:48:00Z</dcterms:created>
  <dcterms:modified xsi:type="dcterms:W3CDTF">2018-11-08T07:43:00Z</dcterms:modified>
</cp:coreProperties>
</file>