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28" w:rsidRPr="00AC3B69" w:rsidRDefault="00230828" w:rsidP="00AC3B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B69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(разъяснения) юридическим лицам, индивидуальным предпринимателям, физическим лицам по вопросам соблюдения обязательных требований земельного законодательства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Муниципальный земельный контроль</w:t>
      </w:r>
    </w:p>
    <w:p w:rsidR="00230828" w:rsidRPr="00B401BF" w:rsidRDefault="00230828" w:rsidP="00AC3B69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профилактики нарушений требований законодательства Российской Федерации, законодательства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Нижегородской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по вопросу использования объектов земельных отношений, а также исключения (недопущения) таких нарушений на территории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Капустихинского сельсовета, Администрация Капустихинского сельсовета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жителей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Капустихинского сельсовета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следующую информацию и поясняет.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муниципального земельного контроля предусмотрено статьей 72 Земельного кодекса Российской Федерации. Организация и проведение муниципального земельного контроля осуществляются в соответствии с принципами законности, презумпции невиновности,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Функция по осуществлению муниципального земельного контроля на территории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Капустихинского сельсовета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возложена на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Администрацию Капустихинского сельсовета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муниципального земельного контроля является контроль за соблюдением в отношении объектов земельных отношений, расположенных в границах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Капустихинского сельсовета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,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законодательства Ростовской области, за нарушение которых законодательством Российской Федерации, законодательством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области предусмотрена административная и иная ответственность (далее – обязательные требования), в том числе: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законодательства своевременно приступать к использованию земельных участков в случаях, если сроки освоения земельных участков предусмотрены законодательством Российской Федерации и (или) договорами;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законодательства Российской Федерации, связанных с обязанностью по приведению земель в состояние, пригодное для использования по целевому назначению, в том числе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земельного и гражданского законодательства Российской Федерации, связанных с уступкой права пользования землей;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требований законодательства Российской Федерации о запрете самовольного снятия, перемещения и уничтожения плодородного слоя почвы;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требований законодательства Российской Федерации, связанных с выполнением в установленный срок предписаний об устранении нарушений земельного законодательства, выданных должностными лицами в пределах их компетенции.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Результатом проведения мероприятий муниципального земельного контроля является акт проверки, содержание которого определяет фиксацию наличия (либо отсутствия) выявленных на территории проверяемого участка нарушений земельного законодательства.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земле, как природному объекту;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своевременно производить платежи за землю;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выполнять иные требования, предусмотренные ЗК РФ и федеральными законами.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проведенной проверки соблюдения земельного законодательства, в случае установления должностными лицами, осуществляющими муниципальный земельный контроль, наличия нарушения земельного законодательства, субъект проверки привлекается к административной ответственности.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Административная ответственность за нарушение земельного законодательства предусмотрена в виде предупреждения или административного штрафа. Предупреждение представляет собой меру административного наказания, выраженную в официальном порицании физического или юридического лица. Предупреждение выносится в письменной форме. Административный штраф является денежным взысканием и выражается в денежной величине, предельный размер которой установлен ст. 3.5 Кодекса об административных правонарушениях Российской Федерации.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результатам анализа мероприятий муниципального земельного контроля, проведенных в истекшие периоды, установлено, что в большинстве случаев допускаемый вид правонарушения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что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является нарушением положений части 1 статьи 25, статьи 39.1 Земельного кодекса Российской Федерации, стати 8, 264 Гражданского кодекса Российской Федерации и составляет предмет правонарушения, квалифицируемого статьей 7.1 Кодекса Российской Федерации об административных правонарушениях.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Под самовольным занятием земель понимается пользование чужим земельным участком при отсутствии воли собственника этого участка (иного уполномоченного им лица), выраженной в установленном порядке. Самовольное занятие земельного участка выражается в активных действиях по размещению на нём строений, огораживания, принятии иных мер для воспрепятствования доступа на него законных собственников (владельцев, арендаторов, других пользователей) или контролирующих лиц, либо путем посева (посадки) сельскохозяйственных и иных растений и т.п.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о размерах административных штрафов за правонарушения, предусмотренные статьей 7.1 Кодекса Российской Федерации об административных правонарушениях для отдельных категорий нарушителей земельного законодательства. </w:t>
      </w:r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2233"/>
        <w:gridCol w:w="2183"/>
        <w:gridCol w:w="2494"/>
      </w:tblGrid>
      <w:tr w:rsidR="00B401BF" w:rsidRPr="00B401BF" w:rsidTr="00AC3B69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 КоАП РФ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наличия (отсутствия) кадастровой стоимости земельного участка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правонарушителей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штрафов для отдельных категорий правонарушителей</w:t>
            </w:r>
          </w:p>
        </w:tc>
      </w:tr>
      <w:tr w:rsidR="00B401BF" w:rsidRPr="00B401BF" w:rsidTr="00AC3B69">
        <w:tc>
          <w:tcPr>
            <w:tcW w:w="2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7.1 КоАП РФ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определена кадастровая стоимость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1% до 1,5% кадастровой стоимости земельного участка, 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не менее 5 000 рублей</w:t>
            </w:r>
          </w:p>
        </w:tc>
      </w:tr>
      <w:tr w:rsidR="00B401BF" w:rsidRPr="00B401BF" w:rsidTr="00AC3B6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должностные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1,5% до 2% кадастровой стоимости земельного участка, 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не менее 20 000 рублей</w:t>
            </w:r>
          </w:p>
        </w:tc>
      </w:tr>
      <w:tr w:rsidR="00B401BF" w:rsidRPr="00B401BF" w:rsidTr="00AC3B6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юридические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2% до 3% кадастровой стоимости земельного участка, 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не менее 100 000 рублей</w:t>
            </w:r>
          </w:p>
        </w:tc>
      </w:tr>
      <w:tr w:rsidR="00B401BF" w:rsidRPr="00B401BF" w:rsidTr="00AC3B6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определена кадастровая стоимость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5 000 рублей до 10 000 рублей</w:t>
            </w:r>
          </w:p>
        </w:tc>
      </w:tr>
      <w:tr w:rsidR="00B401BF" w:rsidRPr="00B401BF" w:rsidTr="00AC3B6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должностные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20 000 рублей до 50 000 рублей</w:t>
            </w:r>
          </w:p>
        </w:tc>
      </w:tr>
      <w:tr w:rsidR="00B401BF" w:rsidRPr="00B401BF" w:rsidTr="00AC3B6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юридические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100 000 рублей 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200 000 рублей</w:t>
            </w:r>
          </w:p>
        </w:tc>
      </w:tr>
    </w:tbl>
    <w:p w:rsidR="00230828" w:rsidRPr="00B401BF" w:rsidRDefault="00230828" w:rsidP="00AC3B69">
      <w:pPr>
        <w:pStyle w:val="a6"/>
        <w:tabs>
          <w:tab w:val="left" w:pos="907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</w:t>
      </w:r>
      <w:r w:rsidR="00AC3B6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рекомендует физическим лицам, юридическим лицам и индивидуальным предпринимателям, являющимся 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К числу распространенных правонарушений, допускаемых субъектами земельных правоотношений, относится использование земельного участка не по целевому назначению в соответствии с его принадлежностью к той или иной категории земель, либо неиспользование земельного участка, предназначенного для жилищного или иного строительства, садоводства, огородничества, в указанных целях. За совершение данного вида правонарушений, относящегося к административным правонарушениям, ответственность за которые предусмотрена статьей 8.8 Кодекса Российской Федерации об административных правонарушениях (далее – КоАП РФ), установлена административная ответственность в виде штрафов. Размеры административных штрафов, устанавливаемых в случае выявления данного вида правонарушений, отражены в таблице № 1.</w:t>
      </w:r>
    </w:p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554"/>
        <w:gridCol w:w="2419"/>
        <w:gridCol w:w="2272"/>
      </w:tblGrid>
      <w:tr w:rsidR="00B401BF" w:rsidRPr="00B401BF" w:rsidTr="002653B9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 КоАП РФ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наличия (отсутствия) кадастровой стоимости земельного участка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правонарушителей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штрафов для отдельных категорий правонарушителей</w:t>
            </w:r>
          </w:p>
        </w:tc>
      </w:tr>
      <w:tr w:rsidR="00B401BF" w:rsidRPr="00B401BF" w:rsidTr="002653B9"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8.8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предусмот-ренных частями 2, 2.1 и 3 настоящей статьи)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определена кадастровая стоимость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0,5% до 1% кадастровой стоимости земельного участка, но не менее 10 000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1% до 1,5% кадастровой стоимости земельного участка, но не менее 20 000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1,5% до 2% кадастровой стоимости земельного участка, но не менее 100 000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определена кадастровая стоимость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10 000 рублей до 20 000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20 000 рублей до 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100 000 рублей до 200 000 рублей</w:t>
            </w:r>
          </w:p>
        </w:tc>
      </w:tr>
      <w:tr w:rsidR="00B401BF" w:rsidRPr="00B401BF" w:rsidTr="002653B9">
        <w:tc>
          <w:tcPr>
            <w:tcW w:w="23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8.8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определена кадастровая стоимость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1% до 1,5% кадастровой стоимости земельного участка, но не менее 20 000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1,5% до 2% кадастровой стоимости земельного участка, но не менее 50 000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3% до 5% кадастровой стоимости земельного участка, но не менее                400 000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определена кадастровая стоимость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20 000 рублей до 50 000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50 000 рублей до                100 000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400 000 рублей до            700 000 рублей</w:t>
            </w:r>
          </w:p>
        </w:tc>
      </w:tr>
    </w:tbl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>Не устранение нарушений земельного законодательства является основанием для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В соответствии с пунктом 1 статьи 54 Земельного Кодекса Российской Федерации принудительное прекращение права возможно при следующих условиях: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- назначение административного наказания за выявленное нарушение;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- не устранение административного правонарушения;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- вступивший в силу судебный акт об изъятии земельного участка.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Факты неиспользования земельного участка по целевому назначению или использования с нарушением законодательства могут быть установлены при проведении плановых и внеплановых проверок органом муниципального земельного контроля.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устранение административного правонарушения может быть установлено при проведении внеплановой проверки на предмет исполнения ранее выданного предписания,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результатам проведения плановой проверки.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Уполномоченным органом местного самоуправления, при проведении плановых и внеплановых проверок субъектов, использующих земельные участки в границах </w:t>
      </w:r>
      <w:r w:rsidR="002653B9" w:rsidRPr="00B401BF">
        <w:rPr>
          <w:rFonts w:ascii="Times New Roman" w:hAnsi="Times New Roman" w:cs="Times New Roman"/>
          <w:sz w:val="24"/>
          <w:szCs w:val="24"/>
          <w:lang w:eastAsia="ru-RU"/>
        </w:rPr>
        <w:t>Капустихинского сельсовета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, в случае выявления нарушения требований земельного законодательства и факта не устранения административного правонарушения, связанного с неиспользованием земельного участка по целевому назначению или использованием с нарушением законодательства Российской Федерации, после назначения административного наказания могут приниматься меры по изъятию таких земельных участков в судебном порядке.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 избежание негативных последствий, </w:t>
      </w:r>
      <w:r w:rsidR="002653B9"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 правообладателям использовать свои земельные участки в соответствии с их целевым назначением и не допускать нарушений земельного законодательства Российской Федерации при их использовании.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В рамках имеющихся полномочий, должностные лица, осуществляющие муниципальный земельный контроль имеют право составлять протоколы об административных правонарушениях при наличии действий (бездействия), образующих состав административных правонарушений, предусмотренных частью 1 статьи 19.4, статьёй 19.4.1, частью 1 статьи 19.5, статьей 19.7 КоАП РФ.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В целях привлечения виновных лиц к административной ответственности, протоколы, составленные должностными лицами органа муниципального земельного контроля, направляются для рассмотрения мировым судьям.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Кодексом об административных правонарушениях также предусмотрена административная ответственность по факту не явки на проверку проверяемого лица.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1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Статьей 19.4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 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предусмотрена ответственность в виде предупреждения или наложения административного штрафа. Размеры установленных штрафов отражены в таблице № 2.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Таблица № 2</w:t>
      </w: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711"/>
      </w:tblGrid>
      <w:tr w:rsidR="00B401BF" w:rsidRPr="00B401BF" w:rsidTr="002653B9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 КоАП РФ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правонарушителей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штрафов для отдельных категорий правонарушителей</w:t>
            </w:r>
          </w:p>
        </w:tc>
      </w:tr>
      <w:tr w:rsidR="00B401BF" w:rsidRPr="00B401BF" w:rsidTr="002653B9"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19.4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500 рублей до 1 000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2 000 рублей до 4 000 рублей</w:t>
            </w:r>
          </w:p>
        </w:tc>
      </w:tr>
    </w:tbl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19.4.1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401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КоАП РФ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 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Частью 1 статьи 19.4.1 КоАП РФ воспрепятствование законной деятельности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КоАП РФ, предусмотрены размеры штрафов, устанавливаемых в отношении физических и должностных лиц, в размерах, отраженных в таблице № 3.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Частью 2 статьи 19.4.1 КоАП РФ определены суммы штрафов за действие (бездействие) должностных и юридических лиц, в случаях, предусмотренных частью 1 статьи 19.4.1, повлекших невозможность проведения или завершения проверки.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Частью 3 статьи 19.4.1 КоАП РФ предусмотрены штрафы за повторное совершение административного правонарушения, предусмотренного частью 2 статьи 19.4.1 КоАП РФ.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Таблица № 3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2974"/>
        <w:gridCol w:w="2843"/>
      </w:tblGrid>
      <w:tr w:rsidR="00B401BF" w:rsidRPr="00B401BF" w:rsidTr="002653B9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 КоАП РФ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правонарушителей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штрафов для отдельных категорий правонарушителей</w:t>
            </w:r>
          </w:p>
        </w:tc>
      </w:tr>
      <w:tr w:rsidR="00B401BF" w:rsidRPr="00B401BF" w:rsidTr="002653B9">
        <w:tc>
          <w:tcPr>
            <w:tcW w:w="38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19.4.1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контроль)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500 рублей до 1 000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2 000 рублей до 4 000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5 000 рублей до 10 000 рублей</w:t>
            </w:r>
          </w:p>
        </w:tc>
      </w:tr>
      <w:tr w:rsidR="00B401BF" w:rsidRPr="00B401BF" w:rsidTr="002653B9">
        <w:tc>
          <w:tcPr>
            <w:tcW w:w="3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2 статьи 19.4.1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(Действия (бездействие), предусмотренные ч.1 статьи 19.4.1,  повлекшие невозможность проведения или завершения проверки)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5000 рублей до 10 000 рублей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20 000 рублей до 50 000 рублей</w:t>
            </w:r>
          </w:p>
        </w:tc>
      </w:tr>
      <w:tr w:rsidR="00B401BF" w:rsidRPr="00B401BF" w:rsidTr="002653B9">
        <w:tc>
          <w:tcPr>
            <w:tcW w:w="3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3 статьи 19.4.1 КоАП РФ (Повторное совершение административного правонарушения, предусмотренного </w:t>
            </w:r>
            <w:hyperlink r:id="rId6" w:history="1">
              <w:r w:rsidRPr="00B401B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ч.2</w:t>
              </w:r>
            </w:hyperlink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статьи 19.4.1)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10 000 рублей до 20 000 рублей или дисквалификация на срок от шести месяцев до одного года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1BF" w:rsidRPr="00B401BF" w:rsidTr="002653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50 000 рублей до 100 000 рублей</w:t>
            </w:r>
          </w:p>
        </w:tc>
      </w:tr>
    </w:tbl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внеплановых контрольных мероприятий на предмет проверки исполнения лицами, допустившими нарушение земельного законодательства, предписания, выданного им органом муниципального земельного контроля, в случае установления факта не устранения нарушений, должностные лица, осуществляющие 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муниципальный земельный контроль, составляют протоколы по основаниям </w:t>
      </w:r>
      <w:r w:rsidRPr="00B401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 1 статьи 19.5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> КоАП РФ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 Соответствующие суммы штрафов отражены в таблице № 4.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br/>
        <w:t>Таблица № 4</w:t>
      </w:r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0"/>
        <w:gridCol w:w="2994"/>
      </w:tblGrid>
      <w:tr w:rsidR="00B401BF" w:rsidRPr="00B401BF" w:rsidTr="0060456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статьи КоАП РФ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правонарушителей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суммы штрафов для отдельных категорий правонарушителей</w:t>
            </w:r>
          </w:p>
        </w:tc>
      </w:tr>
      <w:tr w:rsidR="00B401BF" w:rsidRPr="00B401BF" w:rsidTr="0060456C"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 статьи 19.5 КоАП РФ</w:t>
            </w: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300 рублей до 500 рублей</w:t>
            </w:r>
          </w:p>
        </w:tc>
      </w:tr>
      <w:tr w:rsidR="00B401BF" w:rsidRPr="00B401BF" w:rsidTr="0060456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1 000 рублей до 2 000 рублей или дисквалификацию на срок до трех лет</w:t>
            </w:r>
          </w:p>
        </w:tc>
      </w:tr>
      <w:tr w:rsidR="00B401BF" w:rsidRPr="00B401BF" w:rsidTr="0060456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828" w:rsidRPr="00B401BF" w:rsidRDefault="00230828" w:rsidP="00AC3B6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10 000 рублей до 20 000 рублей</w:t>
            </w:r>
          </w:p>
        </w:tc>
      </w:tr>
    </w:tbl>
    <w:p w:rsidR="00230828" w:rsidRPr="00B401BF" w:rsidRDefault="00230828" w:rsidP="00AC3B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 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</w:t>
      </w:r>
      <w:r w:rsidR="0060456C" w:rsidRPr="00B401BF">
        <w:rPr>
          <w:rFonts w:ascii="Times New Roman" w:hAnsi="Times New Roman" w:cs="Times New Roman"/>
          <w:sz w:val="24"/>
          <w:szCs w:val="24"/>
          <w:lang w:eastAsia="ru-RU"/>
        </w:rPr>
        <w:t>Администрации Воскресенского муниципального района</w:t>
      </w:r>
      <w:r w:rsidRPr="00B40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456C" w:rsidRPr="00B401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A91" w:rsidRPr="00B401BF" w:rsidRDefault="00225A91">
      <w:pPr>
        <w:rPr>
          <w:rFonts w:ascii="Times New Roman" w:hAnsi="Times New Roman" w:cs="Times New Roman"/>
        </w:rPr>
      </w:pPr>
    </w:p>
    <w:sectPr w:rsidR="00225A91" w:rsidRPr="00B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44A"/>
    <w:multiLevelType w:val="multilevel"/>
    <w:tmpl w:val="7C3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9426F"/>
    <w:multiLevelType w:val="multilevel"/>
    <w:tmpl w:val="B6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8"/>
    <w:rsid w:val="00225A91"/>
    <w:rsid w:val="00230828"/>
    <w:rsid w:val="002653B9"/>
    <w:rsid w:val="0060456C"/>
    <w:rsid w:val="00A97676"/>
    <w:rsid w:val="00AC3B69"/>
    <w:rsid w:val="00B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230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28"/>
    <w:rPr>
      <w:b/>
      <w:bCs/>
    </w:rPr>
  </w:style>
  <w:style w:type="character" w:styleId="a5">
    <w:name w:val="Hyperlink"/>
    <w:basedOn w:val="a0"/>
    <w:uiPriority w:val="99"/>
    <w:semiHidden/>
    <w:unhideWhenUsed/>
    <w:rsid w:val="00230828"/>
    <w:rPr>
      <w:color w:val="0000FF"/>
      <w:u w:val="single"/>
    </w:rPr>
  </w:style>
  <w:style w:type="paragraph" w:styleId="a6">
    <w:name w:val="No Spacing"/>
    <w:uiPriority w:val="1"/>
    <w:qFormat/>
    <w:rsid w:val="00AC3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230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28"/>
    <w:rPr>
      <w:b/>
      <w:bCs/>
    </w:rPr>
  </w:style>
  <w:style w:type="character" w:styleId="a5">
    <w:name w:val="Hyperlink"/>
    <w:basedOn w:val="a0"/>
    <w:uiPriority w:val="99"/>
    <w:semiHidden/>
    <w:unhideWhenUsed/>
    <w:rsid w:val="00230828"/>
    <w:rPr>
      <w:color w:val="0000FF"/>
      <w:u w:val="single"/>
    </w:rPr>
  </w:style>
  <w:style w:type="paragraph" w:styleId="a6">
    <w:name w:val="No Spacing"/>
    <w:uiPriority w:val="1"/>
    <w:qFormat/>
    <w:rsid w:val="00AC3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59B43E3265BB11DCE6E4659FC76394CBD0C136C6182427DBC5EEA83C636702C9E42CC8E52zB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2018-05-21T05:25:00Z</dcterms:created>
  <dcterms:modified xsi:type="dcterms:W3CDTF">2018-05-21T10:59:00Z</dcterms:modified>
</cp:coreProperties>
</file>