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A" w:rsidRDefault="00E5462A" w:rsidP="004A52A6">
      <w:pPr>
        <w:tabs>
          <w:tab w:val="left" w:pos="3975"/>
        </w:tabs>
        <w:spacing w:after="120"/>
        <w:jc w:val="center"/>
      </w:pPr>
      <w:r>
        <w:object w:dxaOrig="7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;visibility:visible" o:ole="">
            <v:imagedata r:id="rId7" o:title=""/>
          </v:shape>
          <o:OLEObject Type="Embed" ProgID="StaticMetafile" ShapeID="_x0000_i1025" DrawAspect="Content" ObjectID="_1628506676" r:id="rId8"/>
        </w:object>
      </w:r>
    </w:p>
    <w:p w:rsidR="00E5462A" w:rsidRPr="009B0F16" w:rsidRDefault="00E5462A" w:rsidP="004A52A6">
      <w:pPr>
        <w:jc w:val="center"/>
        <w:rPr>
          <w:b/>
          <w:sz w:val="32"/>
          <w:szCs w:val="32"/>
        </w:rPr>
      </w:pPr>
      <w:r w:rsidRPr="009B0F16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C514C5" w:rsidRPr="009B0F16">
        <w:rPr>
          <w:rFonts w:ascii="Times New Roman" w:hAnsi="Times New Roman"/>
          <w:b/>
          <w:sz w:val="32"/>
          <w:szCs w:val="32"/>
        </w:rPr>
        <w:t>ГЛУХОВСКОГО</w:t>
      </w:r>
      <w:r w:rsidRPr="009B0F16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E5462A" w:rsidRPr="009B0F16" w:rsidRDefault="00E5462A" w:rsidP="004A52A6">
      <w:pPr>
        <w:jc w:val="center"/>
        <w:rPr>
          <w:b/>
          <w:sz w:val="32"/>
          <w:szCs w:val="32"/>
        </w:rPr>
      </w:pPr>
      <w:r w:rsidRPr="009B0F1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9B0F16" w:rsidRPr="009B0F16" w:rsidRDefault="00E5462A" w:rsidP="009B0F16">
      <w:pPr>
        <w:jc w:val="center"/>
        <w:rPr>
          <w:rFonts w:ascii="Times New Roman" w:hAnsi="Times New Roman"/>
          <w:b/>
          <w:sz w:val="32"/>
          <w:szCs w:val="32"/>
        </w:rPr>
      </w:pPr>
      <w:r w:rsidRPr="009B0F1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9B0F16" w:rsidRPr="009B0F16" w:rsidRDefault="009B0F16" w:rsidP="009B0F16">
      <w:pPr>
        <w:rPr>
          <w:rFonts w:ascii="Times New Roman" w:hAnsi="Times New Roman"/>
          <w:b/>
          <w:sz w:val="28"/>
          <w:szCs w:val="28"/>
        </w:rPr>
      </w:pPr>
    </w:p>
    <w:p w:rsidR="009B0F16" w:rsidRPr="00DF3A4C" w:rsidRDefault="009B0F16" w:rsidP="009B0F16">
      <w:pPr>
        <w:shd w:val="clear" w:color="auto" w:fill="FFFFFF"/>
        <w:tabs>
          <w:tab w:val="left" w:pos="8222"/>
        </w:tabs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DF3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Pr="00DF3A4C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 w:rsidRPr="00DF3A4C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F3A4C">
        <w:rPr>
          <w:rFonts w:ascii="Times New Roman" w:hAnsi="Times New Roman"/>
          <w:sz w:val="28"/>
          <w:szCs w:val="28"/>
        </w:rPr>
        <w:t>-р</w:t>
      </w:r>
    </w:p>
    <w:p w:rsidR="00E5462A" w:rsidRPr="009B0F16" w:rsidRDefault="00E5462A" w:rsidP="004A52A6">
      <w:pPr>
        <w:spacing w:before="100" w:after="28"/>
        <w:jc w:val="center"/>
        <w:rPr>
          <w:b/>
          <w:sz w:val="32"/>
          <w:szCs w:val="32"/>
        </w:rPr>
      </w:pPr>
      <w:r w:rsidRPr="009B0F16">
        <w:rPr>
          <w:rFonts w:ascii="Times New Roman" w:hAnsi="Times New Roman"/>
          <w:b/>
          <w:sz w:val="32"/>
          <w:szCs w:val="32"/>
        </w:rPr>
        <w:t xml:space="preserve">«Об утверждении нормативных затрат на обеспечение функций </w:t>
      </w:r>
      <w:r w:rsidR="00C514C5" w:rsidRPr="009B0F16">
        <w:rPr>
          <w:rFonts w:ascii="Times New Roman" w:hAnsi="Times New Roman"/>
          <w:b/>
          <w:sz w:val="32"/>
          <w:szCs w:val="32"/>
        </w:rPr>
        <w:t>Глуховского</w:t>
      </w:r>
      <w:r w:rsidRPr="009B0F16">
        <w:rPr>
          <w:rFonts w:ascii="Times New Roman" w:hAnsi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 на 2020 год»</w:t>
      </w:r>
    </w:p>
    <w:p w:rsidR="00E5462A" w:rsidRDefault="00E5462A" w:rsidP="004A52A6">
      <w:pPr>
        <w:spacing w:before="100" w:after="28"/>
        <w:jc w:val="center"/>
      </w:pPr>
    </w:p>
    <w:p w:rsidR="00E5462A" w:rsidRPr="00B14E54" w:rsidRDefault="00E5462A" w:rsidP="00132305">
      <w:pPr>
        <w:spacing w:line="360" w:lineRule="auto"/>
        <w:ind w:firstLine="567"/>
        <w:jc w:val="both"/>
        <w:rPr>
          <w:rFonts w:ascii="Times New Roman" w:hAnsi="Times New Roman"/>
        </w:rPr>
      </w:pPr>
      <w:r w:rsidRPr="00B14E54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Нижегородской области от 10 сентября 2015 </w:t>
      </w:r>
      <w:r w:rsidR="00132305">
        <w:rPr>
          <w:rFonts w:ascii="Times New Roman" w:hAnsi="Times New Roman"/>
          <w:sz w:val="28"/>
          <w:szCs w:val="28"/>
        </w:rPr>
        <w:t>№</w:t>
      </w:r>
      <w:r w:rsidRPr="00B14E54">
        <w:rPr>
          <w:rFonts w:ascii="Times New Roman" w:hAnsi="Times New Roman"/>
          <w:sz w:val="28"/>
          <w:szCs w:val="28"/>
        </w:rPr>
        <w:t xml:space="preserve"> 576 «Об утверждении правил определения нормативных затрат на обеспечение функций органов государственной власти Нижегородской области, иных государственных органов Нижегородской области (включая соответственно территориальные органы и подведомственные казенные учреждения), территориального фонда обязательного медицинского страхования Нижегородской области», постановлением администрации Воскресенского муниципального района Нижегородской области от 26 июня 2019 года № 621 «Об утверждении Правила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учреждения)»</w:t>
      </w:r>
      <w:r w:rsidR="003962E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аспоряжен</w:t>
      </w:r>
      <w:r w:rsidR="00C514C5">
        <w:rPr>
          <w:rFonts w:ascii="Times New Roman" w:hAnsi="Times New Roman"/>
          <w:sz w:val="28"/>
          <w:szCs w:val="28"/>
        </w:rPr>
        <w:t xml:space="preserve">ием администрации </w:t>
      </w:r>
      <w:r w:rsidR="00C514C5">
        <w:rPr>
          <w:rFonts w:ascii="Times New Roman" w:hAnsi="Times New Roman"/>
          <w:sz w:val="28"/>
          <w:szCs w:val="28"/>
        </w:rPr>
        <w:lastRenderedPageBreak/>
        <w:t>Глуховского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№ </w:t>
      </w:r>
      <w:r w:rsidR="002B40B3">
        <w:rPr>
          <w:rFonts w:ascii="Times New Roman" w:hAnsi="Times New Roman"/>
          <w:sz w:val="28"/>
          <w:szCs w:val="28"/>
        </w:rPr>
        <w:t>13-р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B40B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2B40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 года «</w:t>
      </w:r>
      <w:r w:rsidRPr="00B14E54">
        <w:rPr>
          <w:rFonts w:ascii="Times New Roman" w:hAnsi="Times New Roman"/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</w:t>
      </w:r>
      <w:r w:rsidR="002B40B3">
        <w:rPr>
          <w:rFonts w:ascii="Times New Roman" w:hAnsi="Times New Roman"/>
          <w:sz w:val="28"/>
          <w:szCs w:val="28"/>
        </w:rPr>
        <w:t>Глуховского</w:t>
      </w:r>
      <w:r w:rsidRPr="00B14E5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(включая подведомственные учреждения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14E54">
        <w:rPr>
          <w:rFonts w:ascii="Times New Roman" w:hAnsi="Times New Roman"/>
          <w:color w:val="000000"/>
          <w:sz w:val="28"/>
        </w:rPr>
        <w:t>:</w:t>
      </w:r>
    </w:p>
    <w:p w:rsidR="00E5462A" w:rsidRPr="00052239" w:rsidRDefault="00E5462A" w:rsidP="001323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52239">
        <w:rPr>
          <w:color w:val="000000"/>
          <w:sz w:val="28"/>
          <w:szCs w:val="28"/>
        </w:rPr>
        <w:t xml:space="preserve">.Утвердить нормативные затраты на обеспечение функций администрации </w:t>
      </w:r>
      <w:r w:rsidR="002B40B3">
        <w:rPr>
          <w:color w:val="000000"/>
          <w:sz w:val="28"/>
          <w:szCs w:val="28"/>
        </w:rPr>
        <w:t>Глуховского</w:t>
      </w:r>
      <w:r w:rsidRPr="00052239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согласно приложению.</w:t>
      </w:r>
    </w:p>
    <w:p w:rsidR="00E5462A" w:rsidRPr="00052239" w:rsidRDefault="00E5462A" w:rsidP="001323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052239">
        <w:rPr>
          <w:color w:val="000000"/>
          <w:sz w:val="28"/>
          <w:szCs w:val="28"/>
        </w:rPr>
        <w:t xml:space="preserve">2.Установить, что нормативы количества и (или) цены товаров, работ, услуг могут быть изменены по решению главы администрации </w:t>
      </w:r>
      <w:r w:rsidR="002B40B3">
        <w:rPr>
          <w:color w:val="000000"/>
          <w:sz w:val="28"/>
          <w:szCs w:val="28"/>
        </w:rPr>
        <w:t>Глуховского</w:t>
      </w:r>
      <w:r w:rsidRPr="00052239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E5462A" w:rsidRPr="00052239" w:rsidRDefault="00E5462A" w:rsidP="001323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052239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052239">
        <w:rPr>
          <w:color w:val="000000"/>
          <w:sz w:val="28"/>
          <w:szCs w:val="28"/>
          <w:lang w:val="en-US"/>
        </w:rPr>
        <w:t>www</w:t>
      </w:r>
      <w:r w:rsidRPr="00052239">
        <w:rPr>
          <w:color w:val="000000"/>
          <w:sz w:val="28"/>
          <w:szCs w:val="28"/>
        </w:rPr>
        <w:t>.</w:t>
      </w:r>
      <w:r w:rsidRPr="00052239">
        <w:rPr>
          <w:color w:val="000000"/>
          <w:sz w:val="28"/>
          <w:szCs w:val="28"/>
          <w:lang w:val="en-US"/>
        </w:rPr>
        <w:t>zakupki</w:t>
      </w:r>
      <w:r w:rsidRPr="00052239">
        <w:rPr>
          <w:color w:val="000000"/>
          <w:sz w:val="28"/>
          <w:szCs w:val="28"/>
        </w:rPr>
        <w:t>.</w:t>
      </w:r>
      <w:r w:rsidRPr="00052239">
        <w:rPr>
          <w:color w:val="000000"/>
          <w:sz w:val="28"/>
          <w:szCs w:val="28"/>
          <w:lang w:val="en-US"/>
        </w:rPr>
        <w:t>gov</w:t>
      </w:r>
      <w:r w:rsidRPr="00052239">
        <w:rPr>
          <w:color w:val="000000"/>
          <w:sz w:val="28"/>
          <w:szCs w:val="28"/>
        </w:rPr>
        <w:t>.</w:t>
      </w:r>
      <w:r w:rsidRPr="00052239">
        <w:rPr>
          <w:color w:val="000000"/>
          <w:sz w:val="28"/>
          <w:szCs w:val="28"/>
          <w:lang w:val="en-US"/>
        </w:rPr>
        <w:t>ru</w:t>
      </w:r>
      <w:r w:rsidRPr="00052239">
        <w:rPr>
          <w:color w:val="000000"/>
          <w:sz w:val="28"/>
          <w:szCs w:val="28"/>
        </w:rPr>
        <w:t>.</w:t>
      </w:r>
    </w:p>
    <w:p w:rsidR="00E5462A" w:rsidRPr="00052239" w:rsidRDefault="00E5462A" w:rsidP="0013230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052239">
        <w:rPr>
          <w:color w:val="000000"/>
          <w:sz w:val="28"/>
          <w:szCs w:val="28"/>
        </w:rPr>
        <w:t xml:space="preserve">4.Контроль за исполнением данного </w:t>
      </w:r>
      <w:r w:rsidR="00132305">
        <w:rPr>
          <w:color w:val="000000"/>
          <w:sz w:val="28"/>
          <w:szCs w:val="28"/>
        </w:rPr>
        <w:t>распоряже</w:t>
      </w:r>
      <w:r w:rsidRPr="00052239">
        <w:rPr>
          <w:color w:val="000000"/>
          <w:sz w:val="28"/>
          <w:szCs w:val="28"/>
        </w:rPr>
        <w:t>ния оставляю за собой.</w:t>
      </w:r>
    </w:p>
    <w:p w:rsidR="00E5462A" w:rsidRPr="00052239" w:rsidRDefault="00E5462A" w:rsidP="001323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2239">
        <w:rPr>
          <w:color w:val="000000"/>
          <w:sz w:val="28"/>
          <w:szCs w:val="28"/>
        </w:rPr>
        <w:t xml:space="preserve">5.Настоящее </w:t>
      </w:r>
      <w:r w:rsidR="00132305" w:rsidRPr="00052239">
        <w:rPr>
          <w:color w:val="000000"/>
          <w:sz w:val="28"/>
          <w:szCs w:val="28"/>
        </w:rPr>
        <w:t>распоряжение</w:t>
      </w:r>
      <w:r w:rsidRPr="00052239">
        <w:rPr>
          <w:color w:val="000000"/>
          <w:sz w:val="28"/>
          <w:szCs w:val="28"/>
        </w:rPr>
        <w:t xml:space="preserve"> вступает в силу со дня обнародования.</w:t>
      </w:r>
    </w:p>
    <w:p w:rsidR="00E5462A" w:rsidRDefault="00E5462A" w:rsidP="00132305">
      <w:pPr>
        <w:spacing w:before="100" w:after="28" w:line="360" w:lineRule="auto"/>
        <w:ind w:firstLine="708"/>
        <w:jc w:val="both"/>
      </w:pPr>
    </w:p>
    <w:p w:rsidR="009B0F16" w:rsidRDefault="009B0F16" w:rsidP="00132305">
      <w:pPr>
        <w:spacing w:before="100" w:after="28" w:line="360" w:lineRule="auto"/>
        <w:ind w:firstLine="708"/>
        <w:jc w:val="both"/>
      </w:pPr>
    </w:p>
    <w:p w:rsidR="00E5462A" w:rsidRDefault="00E5462A" w:rsidP="009B0F16">
      <w:pPr>
        <w:spacing w:before="100" w:after="28"/>
        <w:jc w:val="both"/>
      </w:pPr>
      <w:r>
        <w:rPr>
          <w:rFonts w:ascii="Times New Roman" w:hAnsi="Times New Roman"/>
          <w:sz w:val="28"/>
        </w:rPr>
        <w:t xml:space="preserve">Глава администрации                                    </w:t>
      </w:r>
      <w:r w:rsidR="002B40B3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И.</w:t>
      </w:r>
      <w:r w:rsidR="002B40B3">
        <w:rPr>
          <w:rFonts w:ascii="Times New Roman" w:hAnsi="Times New Roman"/>
          <w:sz w:val="28"/>
        </w:rPr>
        <w:t>Ю. Дубова</w:t>
      </w:r>
    </w:p>
    <w:p w:rsidR="00E5462A" w:rsidRDefault="00E5462A" w:rsidP="004A52A6">
      <w:pPr>
        <w:tabs>
          <w:tab w:val="left" w:pos="6096"/>
        </w:tabs>
        <w:jc w:val="both"/>
      </w:pPr>
    </w:p>
    <w:p w:rsidR="00132305" w:rsidRDefault="00E5462A" w:rsidP="004A52A6">
      <w:pPr>
        <w:tabs>
          <w:tab w:val="left" w:pos="6096"/>
        </w:tabs>
        <w:rPr>
          <w:rFonts w:ascii="Times New Roman" w:hAnsi="Times New Roman"/>
          <w:sz w:val="24"/>
        </w:rPr>
        <w:sectPr w:rsidR="00132305" w:rsidSect="00BE65D7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    </w:t>
      </w:r>
    </w:p>
    <w:p w:rsidR="00E5462A" w:rsidRDefault="00E5462A" w:rsidP="004A52A6">
      <w:pPr>
        <w:tabs>
          <w:tab w:val="left" w:pos="6096"/>
        </w:tabs>
        <w:ind w:left="5954"/>
        <w:jc w:val="right"/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E5462A" w:rsidRDefault="00E5462A" w:rsidP="004A52A6">
      <w:pPr>
        <w:tabs>
          <w:tab w:val="left" w:pos="6096"/>
        </w:tabs>
        <w:jc w:val="right"/>
      </w:pPr>
      <w:r>
        <w:rPr>
          <w:rFonts w:ascii="Times New Roman" w:hAnsi="Times New Roman"/>
          <w:sz w:val="24"/>
        </w:rPr>
        <w:t xml:space="preserve"> к распоряжению администрации</w:t>
      </w:r>
    </w:p>
    <w:p w:rsidR="00E5462A" w:rsidRDefault="002B40B3" w:rsidP="004A52A6">
      <w:pPr>
        <w:tabs>
          <w:tab w:val="left" w:pos="6096"/>
        </w:tabs>
        <w:jc w:val="right"/>
      </w:pPr>
      <w:r>
        <w:rPr>
          <w:rFonts w:ascii="Times New Roman" w:hAnsi="Times New Roman"/>
          <w:sz w:val="24"/>
        </w:rPr>
        <w:t>Глуховского</w:t>
      </w:r>
      <w:r w:rsidR="00E5462A">
        <w:rPr>
          <w:rFonts w:ascii="Times New Roman" w:hAnsi="Times New Roman"/>
          <w:sz w:val="24"/>
        </w:rPr>
        <w:t xml:space="preserve"> сельсовета</w:t>
      </w:r>
    </w:p>
    <w:p w:rsidR="00E5462A" w:rsidRDefault="00E5462A" w:rsidP="004A52A6">
      <w:pPr>
        <w:tabs>
          <w:tab w:val="left" w:pos="6096"/>
        </w:tabs>
        <w:jc w:val="right"/>
      </w:pPr>
      <w:r>
        <w:rPr>
          <w:rFonts w:ascii="Times New Roman" w:hAnsi="Times New Roman"/>
          <w:sz w:val="24"/>
        </w:rPr>
        <w:t>Воскресенского муниципального района</w:t>
      </w:r>
    </w:p>
    <w:p w:rsidR="00E5462A" w:rsidRDefault="00E5462A" w:rsidP="004A52A6">
      <w:pPr>
        <w:tabs>
          <w:tab w:val="left" w:pos="6096"/>
        </w:tabs>
        <w:jc w:val="right"/>
      </w:pPr>
      <w:r>
        <w:rPr>
          <w:rFonts w:ascii="Times New Roman" w:hAnsi="Times New Roman"/>
          <w:sz w:val="24"/>
        </w:rPr>
        <w:t>Нижегородской области</w:t>
      </w:r>
    </w:p>
    <w:p w:rsidR="0006056E" w:rsidRPr="009B0F16" w:rsidRDefault="009B0F16" w:rsidP="009B0F16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30.08.2019 </w:t>
      </w:r>
      <w:r w:rsidR="00E5462A">
        <w:rPr>
          <w:rFonts w:ascii="Times New Roman" w:hAnsi="Times New Roman"/>
          <w:sz w:val="24"/>
        </w:rPr>
        <w:t xml:space="preserve">года </w:t>
      </w:r>
      <w:r w:rsidR="00E5462A" w:rsidRPr="0013230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13-р</w:t>
      </w:r>
    </w:p>
    <w:p w:rsidR="0006056E" w:rsidRDefault="0006056E" w:rsidP="004A52A6">
      <w:pPr>
        <w:tabs>
          <w:tab w:val="left" w:pos="6096"/>
        </w:tabs>
      </w:pPr>
    </w:p>
    <w:p w:rsidR="0006056E" w:rsidRPr="0006056E" w:rsidRDefault="0006056E" w:rsidP="002B40B3">
      <w:pPr>
        <w:tabs>
          <w:tab w:val="left" w:pos="6096"/>
        </w:tabs>
        <w:suppressAutoHyphens w:val="0"/>
        <w:overflowPunct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Расчет нормативных затрат на обеспечение функций органов местного самоуправления Глуховского сельсовета Воскресенского муниципального района Нижегородской области</w:t>
      </w:r>
    </w:p>
    <w:p w:rsidR="0006056E" w:rsidRPr="0006056E" w:rsidRDefault="0006056E" w:rsidP="0006056E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Затраты на информационно-коммуникационные технологии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b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b/>
          <w:kern w:val="0"/>
          <w:sz w:val="24"/>
          <w:szCs w:val="24"/>
          <w:u w:val="single"/>
        </w:rPr>
        <w:t>Затраты на услуги связи</w:t>
      </w:r>
    </w:p>
    <w:p w:rsidR="0006056E" w:rsidRPr="0006056E" w:rsidRDefault="0006056E" w:rsidP="0006056E">
      <w:pPr>
        <w:suppressAutoHyphens w:val="0"/>
        <w:overflowPunct/>
        <w:adjustRightInd w:val="0"/>
        <w:ind w:firstLine="30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06056E">
        <w:rPr>
          <w:rFonts w:ascii="Times New Roman" w:hAnsi="Times New Roman"/>
          <w:color w:val="000000"/>
          <w:kern w:val="0"/>
          <w:sz w:val="24"/>
          <w:szCs w:val="24"/>
        </w:rPr>
        <w:t>Расчётная численность основных работников  по затратам  на  информационно-коммуникационные технологии -24 человека</w:t>
      </w:r>
    </w:p>
    <w:p w:rsidR="0006056E" w:rsidRPr="0006056E" w:rsidRDefault="0006056E" w:rsidP="0006056E">
      <w:pPr>
        <w:suppressAutoHyphens w:val="0"/>
        <w:overflowPunct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(руб)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388"/>
        <w:gridCol w:w="2296"/>
        <w:gridCol w:w="2458"/>
      </w:tblGrid>
      <w:tr w:rsidR="0006056E" w:rsidRPr="0006056E" w:rsidTr="0006056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абонентскую плату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75" o:spid="_x0000_i1026" type="#_x0000_t75" alt="base_23739_120272_464" style="width:9pt;height:17.25pt;visibility:visible;mso-wrap-style:square" filled="t">
                  <v:imagedata r:id="rId9" o:title="base_23739_120272_464"/>
                </v:shape>
              </w:pic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74" o:spid="_x0000_i1027" type="#_x0000_t75" alt="base_23739_120272_469" style="width:17.25pt;height:17.25pt;visibility:visible;mso-wrap-style:square" filled="t">
                  <v:imagedata r:id="rId10" o:title="base_23739_120272_469"/>
                </v:shape>
              </w:pic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сеть "Интернет"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оплату иных услуг связи в сфере информационно-коммуникационных технологий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73" o:spid="_x0000_i1028" type="#_x0000_t75" alt="base_23739_120272_508" style="width:9pt;height:17.25pt;visibility:visible;mso-wrap-style:square" filled="t">
                  <v:imagedata r:id="rId11" o:title="base_23739_120272_508"/>
                </v:shape>
              </w:pict>
            </w:r>
          </w:p>
        </w:tc>
      </w:tr>
      <w:tr w:rsidR="0006056E" w:rsidRPr="0006056E" w:rsidTr="0006056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11441,28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5741,52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23151,60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-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1. Затраты на абонентскую плату :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1.1 Расчет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Таблица 1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270"/>
        <w:gridCol w:w="1368"/>
        <w:gridCol w:w="1683"/>
        <w:gridCol w:w="1569"/>
        <w:gridCol w:w="1453"/>
      </w:tblGrid>
      <w:tr w:rsidR="0006056E" w:rsidRPr="0006056E" w:rsidTr="000605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Кол-во абонентских номеров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72" o:spid="_x0000_i1029" type="#_x0000_t75" alt="base_23739_120272_466" style="width:21.75pt;height:17.25pt;visibility:visible;mso-wrap-style:square" filled="t">
                  <v:imagedata r:id="rId12" o:title="base_23739_120272_466"/>
                </v:shape>
              </w:pic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ежемесячная  абонентская плата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71" o:spid="_x0000_i1030" type="#_x0000_t75" alt="base_23739_120272_467" style="width:21.75pt;height:17.25pt;visibility:visible;mso-wrap-style:square" filled="t">
                  <v:imagedata r:id="rId13" o:title="base_23739_120272_467"/>
                </v:shape>
              </w:pi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70" o:spid="_x0000_i1031" type="#_x0000_t75" alt="base_23739_120272_464" style="width:21.75pt;height:17.25pt;visibility:visible;mso-wrap-style:square" filled="t">
                  <v:imagedata r:id="rId9" o:title="base_23739_120272_464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5720,64</w:t>
            </w:r>
          </w:p>
        </w:tc>
      </w:tr>
      <w:tr w:rsidR="0006056E" w:rsidRPr="0006056E" w:rsidTr="000605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Красноярский СДК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2860,32</w:t>
            </w:r>
          </w:p>
        </w:tc>
      </w:tr>
      <w:tr w:rsidR="0006056E" w:rsidRPr="0006056E" w:rsidTr="000605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Глуховская  МПК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2860,32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69" o:spid="_x0000_i1032" type="#_x0000_t75" alt="base_23739_120272_469" style="width:17.25pt;height:17.25pt;visibility:visible;mso-wrap-style:square" filled="t">
            <v:imagedata r:id="rId10" o:title="base_23739_120272_469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 :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2.1. Расчет  оплаты разговоров при местных и междугородних телефонных соединениях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Таблица 2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944"/>
        <w:gridCol w:w="1666"/>
        <w:gridCol w:w="944"/>
        <w:gridCol w:w="1558"/>
        <w:gridCol w:w="1481"/>
        <w:gridCol w:w="1036"/>
      </w:tblGrid>
      <w:tr w:rsidR="0006056E" w:rsidRPr="0006056E" w:rsidTr="0006056E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Местные соединения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6056E" w:rsidRPr="0006056E" w:rsidTr="0006056E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Кол-во абонентских номеров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8" o:spid="_x0000_i1033" type="#_x0000_t75" alt="base_23739_120272_471" style="width:17.25pt;height:17.25pt;visibility:visible;mso-wrap-style:square" filled="t">
                  <v:imagedata r:id="rId14" o:title="base_23739_120272_471"/>
                </v:shape>
              </w:pic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(Средняя)продолжительность местных телефонных соединений в месяц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7" o:spid="_x0000_i1034" type="#_x0000_t75" alt="base_23739_120272_472" style="width:17.25pt;height:17.25pt;visibility:visible;mso-wrap-style:square" filled="t">
                  <v:imagedata r:id="rId15" o:title="base_23739_120272_472"/>
                </v:shape>
              </w:pi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минуты разговора при местных телефонных соединениях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6" o:spid="_x0000_i1035" type="#_x0000_t75" alt="base_23739_120272_473" style="width:17.25pt;height:17.25pt;visibility:visible;mso-wrap-style:square" filled="t">
                  <v:imagedata r:id="rId16" o:title="base_23739_120272_473"/>
                </v:shape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месяцев предоставления услуги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5" o:spid="_x0000_i1036" type="#_x0000_t75" alt="base_23739_120272_474" style="width:21.75pt;height:17.25pt;visibility:visible;mso-wrap-style:square" filled="t">
                  <v:imagedata r:id="rId17" o:title="base_23739_120272_474"/>
                </v:shape>
              </w:pic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64" o:spid="_x0000_i1037" type="#_x0000_t75" alt="base_23739_120272_469" style="width:17.25pt;height:17.25pt;visibility:visible;mso-wrap-style:square" filled="t">
                  <v:imagedata r:id="rId10" o:title="base_23739_120272_469"/>
                </v:shape>
              </w:pict>
            </w:r>
          </w:p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 xml:space="preserve">(руб) </w:t>
            </w:r>
          </w:p>
        </w:tc>
      </w:tr>
      <w:tr w:rsidR="0006056E" w:rsidRPr="0006056E" w:rsidTr="0006056E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0,661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5741,52</w:t>
            </w:r>
          </w:p>
        </w:tc>
      </w:tr>
      <w:tr w:rsidR="0006056E" w:rsidRPr="0006056E" w:rsidTr="0006056E"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Междугородные соединения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6056E" w:rsidRPr="0006056E" w:rsidTr="0006056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Кол-во абонентских номеров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3" o:spid="_x0000_i1038" type="#_x0000_t75" alt="base_23739_120272_475" style="width:21.75pt;height:17.25pt;visibility:visible;mso-wrap-style:square" filled="t">
                  <v:imagedata r:id="rId18" o:title="base_23739_120272_475"/>
                </v:shape>
              </w:pic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(Средняя)продолжительность междугородних телефонных соединений в месяц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2" o:spid="_x0000_i1039" type="#_x0000_t75" alt="base_23739_120272_476" style="width:17.25pt;height:17.25pt;visibility:visible;mso-wrap-style:square" filled="t">
                  <v:imagedata r:id="rId19" o:title="base_23739_120272_476"/>
                </v:shape>
              </w:pic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минуты разговора при междугородних телефонных соединениях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1" o:spid="_x0000_i1040" type="#_x0000_t75" alt="base_23739_120272_481" style="width:17.25pt;height:17.25pt;visibility:visible;mso-wrap-style:square" filled="t">
                  <v:imagedata r:id="rId20" o:title="base_23739_120272_481"/>
                </v:shape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месяцев предоставления услуги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60" o:spid="_x0000_i1041" type="#_x0000_t75" alt="base_23739_120272_474" style="width:21.75pt;height:17.25pt;visibility:visible;mso-wrap-style:square" filled="t">
                  <v:imagedata r:id="rId17" o:title="base_23739_120272_474"/>
                </v:shape>
              </w:pic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59" o:spid="_x0000_i1042" type="#_x0000_t75" alt="base_23739_120272_469" style="width:17.25pt;height:17.25pt;visibility:visible;mso-wrap-style:square" filled="t">
                  <v:imagedata r:id="rId10" o:title="base_23739_120272_469"/>
                </v:shape>
              </w:pict>
            </w:r>
          </w:p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06056E" w:rsidRPr="0006056E" w:rsidTr="0006056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-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 3. Затраты на сеть "Интернет" :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3.1. Расчет затрат на сеть «Интернет»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811"/>
        <w:gridCol w:w="1827"/>
        <w:gridCol w:w="1569"/>
        <w:gridCol w:w="1522"/>
      </w:tblGrid>
      <w:tr w:rsidR="0006056E" w:rsidRPr="0006056E" w:rsidTr="0006056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каналов передачи данных сети "Интернет" ( 1мбит/с)</w:t>
            </w:r>
            <w:r w:rsidRPr="0006056E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t xml:space="preserve">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58" o:spid="_x0000_i1043" type="#_x0000_t75" alt="base_23739_120272_495" style="width:17.25pt;height:17.25pt;visibility:visible;mso-wrap-style:square" filled="t">
                  <v:imagedata r:id="rId21" o:title="base_23739_120272_495"/>
                </v:shape>
              </w:pic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ежемесячная  абонентская плата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57" o:spid="_x0000_i1044" type="#_x0000_t75" alt="base_23739_120272_496" style="width:9pt;height:17.25pt;visibility:visible;mso-wrap-style:square" filled="t">
                  <v:imagedata r:id="rId22" o:title="base_23739_120272_496"/>
                </v:shape>
              </w:pi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Количество месяцев предоставления услуги </w:t>
            </w:r>
            <w:r w:rsidRPr="0006056E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Ni</w:t>
            </w: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1929,30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23151,60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0"/>
          <w:szCs w:val="20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4. Затраты на оплату иных услуг связи в сфере информационно-коммуникационных технологий (</w:t>
      </w:r>
      <w:r w:rsidR="009B0F16">
        <w:rPr>
          <w:rFonts w:ascii="Times New Roman" w:hAnsi="Times New Roman"/>
          <w:noProof/>
          <w:kern w:val="0"/>
          <w:position w:val="-14"/>
          <w:sz w:val="24"/>
          <w:szCs w:val="24"/>
        </w:rPr>
        <w:pict>
          <v:shape id="Рисунок 56" o:spid="_x0000_i1045" type="#_x0000_t75" alt="base_23739_120272_508" style="width:9pt;height:17.25pt;visibility:visible;mso-wrap-style:square" filled="t">
            <v:imagedata r:id="rId11" o:title="base_23739_120272_508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4.1. Расчет за пользование факсимильным аппаратом производится в соответствии с  таблицей :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4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827"/>
        <w:gridCol w:w="1836"/>
        <w:gridCol w:w="1547"/>
        <w:gridCol w:w="1525"/>
      </w:tblGrid>
      <w:tr w:rsidR="0006056E" w:rsidRPr="0006056E" w:rsidTr="0006056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каналов передачи данных сети «Интернет» ( 1мбит/с)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абонентская плата за 1 передачу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Среднее количество передачи в месяц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-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-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0"/>
          <w:szCs w:val="20"/>
          <w:u w:val="single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содержание имущества</w:t>
      </w:r>
    </w:p>
    <w:p w:rsidR="0006056E" w:rsidRPr="0006056E" w:rsidRDefault="0006056E" w:rsidP="0006056E">
      <w:pPr>
        <w:suppressAutoHyphens w:val="0"/>
        <w:overflowPunct/>
        <w:adjustRightInd w:val="0"/>
        <w:ind w:firstLine="30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06056E">
        <w:rPr>
          <w:rFonts w:ascii="Times New Roman" w:hAnsi="Times New Roman"/>
          <w:color w:val="000000"/>
          <w:kern w:val="0"/>
          <w:sz w:val="24"/>
          <w:szCs w:val="24"/>
        </w:rPr>
        <w:t>Расчётная численность основных работников  по затратам  на содержание имущества - 9 человек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bookmarkStart w:id="0" w:name="P186"/>
      <w:bookmarkEnd w:id="0"/>
      <w:r w:rsidRPr="0006056E">
        <w:rPr>
          <w:rFonts w:ascii="Times New Roman" w:hAnsi="Times New Roman"/>
          <w:kern w:val="0"/>
          <w:sz w:val="24"/>
          <w:szCs w:val="24"/>
        </w:rPr>
        <w:t>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9B0F16">
        <w:rPr>
          <w:rFonts w:ascii="Times New Roman" w:hAnsi="Times New Roman"/>
          <w:noProof/>
          <w:kern w:val="0"/>
          <w:position w:val="-14"/>
          <w:sz w:val="24"/>
          <w:szCs w:val="24"/>
        </w:rPr>
        <w:pict>
          <v:shape id="Рисунок 54" o:spid="_x0000_i1046" type="#_x0000_t75" alt="base_23739_120272_531" style="width:17.25pt;height:17.25pt;visibility:visible;mso-wrap-style:square" filled="t">
            <v:imagedata r:id="rId23" o:title="base_23739_120272_531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5.1. Расчет на заправку и ремонт картриджей для принтеров производится в соответствии с 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802"/>
        <w:gridCol w:w="1898"/>
        <w:gridCol w:w="1536"/>
        <w:gridCol w:w="1524"/>
      </w:tblGrid>
      <w:tr w:rsidR="0006056E" w:rsidRPr="0006056E" w:rsidTr="0006056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Количество принтеров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53" o:spid="_x0000_i1047" type="#_x0000_t75" alt="base_23739_120272_533" style="width:21.75pt;height:17.25pt;visibility:visible;mso-wrap-style:square" filled="t">
                  <v:imagedata r:id="rId24" o:title="base_23739_120272_533"/>
                </v:shape>
              </w:pic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технического обслуживания и регламентно-профилактического ремонта Р</w:t>
            </w:r>
            <w:r w:rsidRPr="0006056E">
              <w:rPr>
                <w:rFonts w:ascii="Times New Roman" w:hAnsi="Times New Roman"/>
                <w:kern w:val="0"/>
                <w:sz w:val="16"/>
                <w:szCs w:val="16"/>
                <w:lang w:val="en-US"/>
              </w:rPr>
              <w:t>i</w:t>
            </w:r>
            <w:r w:rsidRPr="0006056E">
              <w:rPr>
                <w:rFonts w:ascii="Times New Roman" w:hAnsi="Times New Roman"/>
                <w:kern w:val="0"/>
                <w:sz w:val="16"/>
                <w:szCs w:val="16"/>
              </w:rPr>
              <w:t>рпм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заправок в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52" o:spid="_x0000_i1048" type="#_x0000_t75" alt="base_23739_120272_531" style="width:17.25pt;height:17.25pt;visibility:visible;mso-wrap-style:square" filled="t">
                  <v:imagedata r:id="rId23" o:title="base_23739_120272_531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6"/>
                <w:szCs w:val="16"/>
              </w:rPr>
              <w:t>(руб)</w:t>
            </w:r>
          </w:p>
        </w:tc>
      </w:tr>
      <w:tr w:rsidR="0006056E" w:rsidRPr="0006056E" w:rsidTr="0006056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Заправка картриджей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5250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0"/>
          <w:szCs w:val="20"/>
          <w:u w:val="single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06056E" w:rsidRPr="0006056E" w:rsidRDefault="0006056E" w:rsidP="0006056E">
      <w:pPr>
        <w:suppressAutoHyphens w:val="0"/>
        <w:overflowPunct/>
        <w:adjustRightInd w:val="0"/>
        <w:ind w:firstLine="30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06056E">
        <w:rPr>
          <w:rFonts w:ascii="Times New Roman" w:hAnsi="Times New Roman"/>
          <w:color w:val="000000"/>
          <w:kern w:val="0"/>
          <w:sz w:val="24"/>
          <w:szCs w:val="24"/>
        </w:rPr>
        <w:t>Расчётная численность основных работников  по затратам  на  информационно-коммуникационные технологии – 3 человека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6. Затраты на оплату услуг по сопровождению и приобретению иного программного обеспечения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51" o:spid="_x0000_i1049" type="#_x0000_t75" alt="base_23739_120272_546" style="width:17.25pt;height:17.25pt;visibility:visible;mso-wrap-style:square" filled="t">
            <v:imagedata r:id="rId25" o:title="base_23739_120272_546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6.1. Расчет затрат по сопровождению и приобретению програмного оборудования производится в соответствии с  таблицей :</w:t>
      </w:r>
    </w:p>
    <w:p w:rsidR="0006056E" w:rsidRPr="0006056E" w:rsidRDefault="0006056E" w:rsidP="0006056E">
      <w:pPr>
        <w:suppressAutoHyphens w:val="0"/>
        <w:overflowPunct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976"/>
        <w:gridCol w:w="2004"/>
        <w:gridCol w:w="1511"/>
      </w:tblGrid>
      <w:tr w:rsidR="0006056E" w:rsidRPr="0006056E" w:rsidTr="000605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сопровождения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50" o:spid="_x0000_i1050" type="#_x0000_t75" alt="base_23739_120272_548" style="width:21.75pt;height:17.25pt;visibility:visible;mso-wrap-style:square" filled="t">
                  <v:imagedata r:id="rId26" o:title="base_23739_120272_548"/>
                </v:shape>
              </w:pic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простых (неисключительных) лицензий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49" o:spid="_x0000_i1051" type="#_x0000_t75" alt="base_23739_120272_546" style="width:17.25pt;height:17.25pt;visibility:visible;mso-wrap-style:square" filled="t">
                  <v:imagedata r:id="rId25" o:title="base_23739_120272_546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6"/>
                <w:szCs w:val="16"/>
              </w:rPr>
              <w:t>(руб)</w:t>
            </w:r>
          </w:p>
        </w:tc>
      </w:tr>
      <w:tr w:rsidR="0006056E" w:rsidRPr="0006056E" w:rsidTr="000605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Сопровождение программы 1 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E84881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E84881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9400</w:t>
            </w:r>
          </w:p>
        </w:tc>
      </w:tr>
      <w:tr w:rsidR="0006056E" w:rsidRPr="0006056E" w:rsidTr="000605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Приобретения лицензии ключа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widowControl/>
        <w:numPr>
          <w:ilvl w:val="0"/>
          <w:numId w:val="7"/>
        </w:numPr>
        <w:suppressAutoHyphens w:val="0"/>
        <w:overflowPunct/>
        <w:autoSpaceDE/>
        <w:autoSpaceDN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Прочие затраты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коммунальные услуги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lastRenderedPageBreak/>
        <w:t xml:space="preserve">      Расчетная среднесписочная численность основных работников  по затратам на коммунальные услуги - 50 человек</w:t>
      </w:r>
    </w:p>
    <w:p w:rsidR="0006056E" w:rsidRPr="0006056E" w:rsidRDefault="0006056E" w:rsidP="0006056E">
      <w:pPr>
        <w:suppressAutoHyphens w:val="0"/>
        <w:overflowPunct/>
        <w:rPr>
          <w:rFonts w:ascii="Times New Roman" w:hAnsi="Times New Roman"/>
          <w:kern w:val="0"/>
          <w:sz w:val="18"/>
          <w:szCs w:val="18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Затраты на коммунальные услуги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48" o:spid="_x0000_i1052" type="#_x0000_t75" alt="base_23739_120272_674" style="width:17.25pt;height:17.25pt;visibility:visible;mso-wrap-style:square" filled="t">
            <v:imagedata r:id="rId27" o:title="base_23739_120272_674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                                                                        </w:t>
      </w:r>
      <w:r w:rsidRPr="0006056E">
        <w:rPr>
          <w:rFonts w:ascii="Times New Roman" w:hAnsi="Times New Roman"/>
          <w:kern w:val="0"/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06056E" w:rsidRPr="0006056E" w:rsidTr="000605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 иные виды топлива</w:t>
            </w:r>
          </w:p>
        </w:tc>
      </w:tr>
      <w:tr w:rsidR="0006056E" w:rsidRPr="0006056E" w:rsidTr="000605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611100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1697000</w:t>
            </w:r>
          </w:p>
        </w:tc>
      </w:tr>
    </w:tbl>
    <w:p w:rsidR="0006056E" w:rsidRPr="0006056E" w:rsidRDefault="0006056E" w:rsidP="0006056E">
      <w:pPr>
        <w:suppressAutoHyphens w:val="0"/>
        <w:overflowPunct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7. Затраты на  иные виды топлива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47" o:spid="_x0000_i1053" type="#_x0000_t75" alt="base_23739_120272_682" style="width:17.25pt;height:17.25pt;visibility:visible;mso-wrap-style:square" filled="t">
            <v:imagedata r:id="rId28" o:title="base_23739_120272_682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7.1. Расчет затрат по топливу производится 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73"/>
        <w:gridCol w:w="2107"/>
        <w:gridCol w:w="1756"/>
        <w:gridCol w:w="1064"/>
        <w:gridCol w:w="1235"/>
      </w:tblGrid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топлива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м.куб,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46" o:spid="_x0000_i1054" type="#_x0000_t75" alt="base_23739_120272_682" style="width:9pt;height:17.25pt;visibility:visible;mso-wrap-style:square" filled="t">
                  <v:imagedata r:id="rId28" o:title="base_23739_120272_682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 п. Красный Яр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42000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 с. Глухово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Покупное тепло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27,93 Гкал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7726,46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215800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Красноярский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243600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Глуховская 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30800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Глуховский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Покупное тепло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150,71 Гкал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7728,75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1164800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8. Затраты на электроснабжение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45" o:spid="_x0000_i1055" type="#_x0000_t75" alt="base_23739_120272_687" style="width:9pt;height:17.25pt;visibility:visible;mso-wrap-style:square" filled="t">
            <v:imagedata r:id="rId29" o:title="base_23739_120272_687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8.1.  Расчет затрат на электроснабжение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15"/>
        <w:gridCol w:w="2270"/>
        <w:gridCol w:w="2276"/>
        <w:gridCol w:w="1572"/>
      </w:tblGrid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Регулируемый тариф на эл.энергию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44" o:spid="_x0000_i1056" type="#_x0000_t75" alt="base_23739_120272_689" style="width:17.25pt;height:17.25pt;visibility:visible;mso-wrap-style:square" filled="t">
                  <v:imagedata r:id="rId30" o:title="base_23739_120272_689"/>
                </v:shape>
              </w:pi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Расчетная потребность в эл.энергии в год (кВт)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 З</w:t>
            </w: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эс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36000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Глуховский СДК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20700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Елкинский 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23500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211500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Красноярский СДК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10800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Ул.освещение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315000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Глуховская  МПК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9,00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17100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9. Затраты на холодное водоснабжение 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43" o:spid="_x0000_i1057" type="#_x0000_t75" alt="base_23739_120272_699" style="width:21.75pt;height:9pt;visibility:visible;mso-wrap-style:square" filled="t">
            <v:imagedata r:id="rId31" o:title="base_23739_120272_699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9.1.  Расчет затрат на холодное водоснабжение 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723"/>
        <w:gridCol w:w="2737"/>
        <w:gridCol w:w="2282"/>
        <w:gridCol w:w="1202"/>
      </w:tblGrid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расчетная потребность в холодном водоснабжении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42" o:spid="_x0000_i1058" type="#_x0000_t75" alt="base_23739_120272_701" style="width:17.25pt;height:17.25pt;visibility:visible;mso-wrap-style:square" filled="t">
                  <v:imagedata r:id="rId32" o:title="base_23739_120272_701"/>
                </v:shape>
              </w:pi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регулируемый тариф на холодное водоснабжение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41" o:spid="_x0000_i1059" type="#_x0000_t75" alt="base_23739_120272_702" style="width:17.25pt;height:17.25pt;visibility:visible;mso-wrap-style:square" filled="t">
                  <v:imagedata r:id="rId33" o:title="base_23739_120272_702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 З</w:t>
            </w:r>
            <w:r w:rsidRPr="0006056E">
              <w:rPr>
                <w:rFonts w:ascii="Times New Roman" w:hAnsi="Times New Roman"/>
                <w:kern w:val="0"/>
                <w:sz w:val="16"/>
                <w:szCs w:val="16"/>
              </w:rPr>
              <w:t>хв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2200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Глуховский СДК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Елкинский  СК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 w:rsidR="0006056E" w:rsidRPr="0006056E" w:rsidTr="000605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Красноярский СДК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6056E" w:rsidRPr="0006056E" w:rsidRDefault="0006056E" w:rsidP="0006056E">
      <w:pPr>
        <w:suppressAutoHyphens w:val="0"/>
        <w:overflowPunct/>
        <w:adjustRightInd w:val="0"/>
        <w:ind w:firstLine="30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06056E">
        <w:rPr>
          <w:rFonts w:ascii="Times New Roman" w:hAnsi="Times New Roman"/>
          <w:color w:val="000000"/>
          <w:kern w:val="0"/>
          <w:sz w:val="24"/>
          <w:szCs w:val="24"/>
        </w:rPr>
        <w:t>Расчётная численность основных работников  по затратам  на содержание имущества -10 человек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Затраты на содержание и техническое обслуживание помещений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40" o:spid="_x0000_i1060" type="#_x0000_t75" alt="base_23739_120272_724" style="width:9pt;height:17.25pt;visibility:visible;mso-wrap-style:square" filled="t">
            <v:imagedata r:id="rId34" o:title="base_23739_120272_724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  10. Расчет  затрат на вывоз ТБО:</w:t>
      </w: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10.1.  Расчет  затрат на вывоз ТБО производится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803"/>
        <w:gridCol w:w="3225"/>
        <w:gridCol w:w="1711"/>
      </w:tblGrid>
      <w:tr w:rsidR="0006056E" w:rsidRPr="0006056E" w:rsidTr="0006056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куб. метров твердых бытовых отходов в год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39" o:spid="_x0000_i1061" type="#_x0000_t75" alt="base_23739_120272_761" style="width:21.75pt;height:17.25pt;visibility:visible;mso-wrap-style:square" filled="t">
                  <v:imagedata r:id="rId35" o:title="base_23739_120272_761"/>
                </v:shape>
              </w:pic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вывоза 1 куб. метра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 З</w:t>
            </w:r>
            <w:r w:rsidRPr="0006056E">
              <w:rPr>
                <w:rFonts w:ascii="Times New Roman" w:hAnsi="Times New Roman"/>
                <w:kern w:val="0"/>
                <w:sz w:val="16"/>
                <w:szCs w:val="16"/>
              </w:rPr>
              <w:t>тбо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E84881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681,61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E84881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59300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lastRenderedPageBreak/>
        <w:t xml:space="preserve">   </w:t>
      </w:r>
    </w:p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на информационно-коммуникационные технологии</w:t>
      </w:r>
    </w:p>
    <w:p w:rsidR="0006056E" w:rsidRPr="0006056E" w:rsidRDefault="0006056E" w:rsidP="0006056E">
      <w:pPr>
        <w:suppressAutoHyphens w:val="0"/>
        <w:overflowPunct/>
        <w:adjustRightInd w:val="0"/>
        <w:ind w:firstLine="30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06056E">
        <w:rPr>
          <w:rFonts w:ascii="Times New Roman" w:hAnsi="Times New Roman"/>
          <w:color w:val="000000"/>
          <w:kern w:val="0"/>
          <w:sz w:val="24"/>
          <w:szCs w:val="24"/>
        </w:rPr>
        <w:t>Расчётная численность основных работников  по затратам  на  приобретение прочих услуг -10 человек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11. Затраты на оплату типографских работ и услуг, включая приобретение периодических печатных изданий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38" o:spid="_x0000_i1062" type="#_x0000_t75" alt="base_23739_120272_825" style="width:9pt;height:17.25pt;visibility:visible;mso-wrap-style:square" filled="t">
            <v:imagedata r:id="rId36" o:title="base_23739_120272_825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>) определяются по фактическим затратам в отчетном финансовом году с учетом изменения тарифов по формуле: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11.1 Затраты  на приобретение информационных услуг производятся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06056E">
        <w:rPr>
          <w:rFonts w:ascii="Times New Roman" w:hAnsi="Times New Roman"/>
          <w:kern w:val="0"/>
          <w:sz w:val="20"/>
          <w:szCs w:val="20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1729"/>
        <w:gridCol w:w="1253"/>
        <w:gridCol w:w="1728"/>
      </w:tblGrid>
      <w:tr w:rsidR="0006056E" w:rsidRPr="0006056E" w:rsidTr="0006056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за единицу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37" o:spid="_x0000_i1063" type="#_x0000_t75" alt="base_23739_120272_825" style="width:9pt;height:17.25pt;visibility:visible;mso-wrap-style:square" filled="t">
                  <v:imagedata r:id="rId36" o:title="base_23739_120272_825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Абонемент на газету «Воскресенская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</w:tr>
      <w:tr w:rsidR="0006056E" w:rsidRPr="0006056E" w:rsidTr="0006056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Абонемент на газету «Нижегородская правда»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</w:tr>
      <w:tr w:rsidR="0006056E" w:rsidRPr="0006056E" w:rsidTr="0006056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 руб. за 1 см.кв.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7000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12. Затраты на проведение предрейсового и послерейсового осмотра водителей транспортных средств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36" o:spid="_x0000_i1064" type="#_x0000_t75" alt="base_23739_120272_839" style="width:17.25pt;height:17.25pt;visibility:visible;mso-wrap-style:square" filled="t">
            <v:imagedata r:id="rId37" o:title="base_23739_120272_839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12.1. Расчет затрат на  проведение предрейсового и послерейсового осмотра производится в соответствии с  таблицей:                                                                                                              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6056E">
        <w:rPr>
          <w:rFonts w:ascii="Times New Roman" w:hAnsi="Times New Roman"/>
          <w:kern w:val="0"/>
          <w:sz w:val="20"/>
          <w:szCs w:val="20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981"/>
        <w:gridCol w:w="1976"/>
        <w:gridCol w:w="1999"/>
        <w:gridCol w:w="1600"/>
      </w:tblGrid>
      <w:tr w:rsidR="0006056E" w:rsidRPr="0006056E" w:rsidTr="0006056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водителей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35" o:spid="_x0000_i1065" type="#_x0000_t75" alt="base_23739_120272_841" style="width:21.75pt;height:17.25pt;visibility:visible;mso-wrap-style:square" filled="t">
                  <v:imagedata r:id="rId38" o:title="base_23739_120272_841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проведения осмотра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34" o:spid="_x0000_i1066" type="#_x0000_t75" alt="base_23739_120272_842" style="width:17.25pt;height:17.25pt;visibility:visible;mso-wrap-style:square" filled="t">
                  <v:imagedata r:id="rId39" o:title="base_23739_120272_842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Количество рабочих дней в году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pict>
                <v:shape id="Рисунок 33" o:spid="_x0000_i1067" type="#_x0000_t75" alt="base_23739_120272_843" style="width:21.75pt;height:17.25pt;visibility:visible;mso-wrap-style:square" filled="t">
                  <v:imagedata r:id="rId40" o:title="base_23739_120272_843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Поправочный коэффициэнт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32" o:spid="_x0000_i1068" type="#_x0000_t75" alt="base_23739_120272_839" style="width:17.25pt;height:17.25pt;visibility:visible;mso-wrap-style:square" filled="t">
                  <v:imagedata r:id="rId37" o:title="base_23739_120272_839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12350,00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13. Затраты на приобретение полисов обязательного страхования гражданской ответственности владельцев транспортных средств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31" o:spid="_x0000_i1069" type="#_x0000_t75" alt="base_23739_120272_856" style="width:21.75pt;height:17.25pt;visibility:visible;mso-wrap-style:square" filled="t">
            <v:imagedata r:id="rId41" o:title="base_23739_120272_856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13.1. Расчет затрат на приобретение полисов ОСАГО производится в соответствии с таблицей: </w:t>
      </w:r>
    </w:p>
    <w:p w:rsidR="0006056E" w:rsidRPr="0006056E" w:rsidRDefault="0006056E" w:rsidP="0006056E">
      <w:pPr>
        <w:suppressAutoHyphens w:val="0"/>
        <w:overflowPunct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6056E">
        <w:rPr>
          <w:rFonts w:ascii="Times New Roman" w:hAnsi="Times New Roman"/>
          <w:kern w:val="0"/>
          <w:sz w:val="20"/>
          <w:szCs w:val="20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097"/>
        <w:gridCol w:w="2623"/>
        <w:gridCol w:w="1916"/>
        <w:gridCol w:w="1264"/>
      </w:tblGrid>
      <w:tr w:rsidR="0006056E" w:rsidRPr="0006056E" w:rsidTr="0006056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Базовая ставка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30" o:spid="_x0000_i1070" type="#_x0000_t75" alt="base_23739_120272_858" style="width:17.25pt;height:17.25pt;visibility:visible;mso-wrap-style:square" filled="t">
                  <v:imagedata r:id="rId42" o:title="base_23739_120272_858"/>
                </v:shape>
              </w:pic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29" o:spid="_x0000_i1071" type="#_x0000_t75" alt="base_23739_120272_860" style="width:26.25pt;height:17.25pt;visibility:visible;mso-wrap-style:square" filled="t">
                  <v:imagedata r:id="rId43" o:title="base_23739_120272_860"/>
                </v:shape>
              </w:pi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Коэффициент страховых тарифов в зависимости от технических характеристик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28" o:spid="_x0000_i1072" type="#_x0000_t75" alt="base_23739_120272_862" style="width:21.75pt;height:17.25pt;visibility:visible;mso-wrap-style:square" filled="t">
                  <v:imagedata r:id="rId44" o:title="base_23739_120272_862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 xml:space="preserve">Коэффициент страховых тарифов в зависимости от наличия сведений о количестве лиц 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6"/>
                <w:szCs w:val="26"/>
              </w:rPr>
              <w:pict>
                <v:shape id="Рисунок 27" o:spid="_x0000_i1073" type="#_x0000_t75" alt="base_23739_120272_861" style="width:21.75pt;height:17.25pt;visibility:visible;mso-wrap-style:square" filled="t">
                  <v:imagedata r:id="rId45" o:title="base_23739_120272_861"/>
                </v:shape>
              </w:pic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26" o:spid="_x0000_i1074" type="#_x0000_t75" alt="base_23739_120272_856" style="width:21.75pt;height:17.25pt;visibility:visible;mso-wrap-style:square" filled="t">
                  <v:imagedata r:id="rId41" o:title="base_23739_120272_856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b/>
                <w:kern w:val="0"/>
                <w:sz w:val="20"/>
                <w:szCs w:val="20"/>
              </w:rPr>
              <w:t>ГАЗ 3302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6056E" w:rsidRPr="0006056E" w:rsidTr="0006056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2573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0,85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4330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  <w:u w:val="single"/>
        </w:rPr>
      </w:pPr>
      <w:r w:rsidRPr="0006056E">
        <w:rPr>
          <w:rFonts w:ascii="Times New Roman" w:hAnsi="Times New Roman"/>
          <w:kern w:val="0"/>
          <w:sz w:val="24"/>
          <w:szCs w:val="24"/>
          <w:u w:val="single"/>
        </w:rPr>
        <w:t>затрат на информационно-коммуникационные технологии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23" o:spid="_x0000_i1075" type="#_x0000_t75" alt="base_23739_120272_890" style="width:17.25pt;height:17.25pt;visibility:visible;mso-wrap-style:square" filled="t">
            <v:imagedata r:id="rId46" o:title="base_23739_120272_890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): </w:t>
      </w:r>
    </w:p>
    <w:p w:rsidR="0006056E" w:rsidRPr="0006056E" w:rsidRDefault="0006056E" w:rsidP="0006056E">
      <w:pPr>
        <w:suppressAutoHyphens w:val="0"/>
        <w:overflowPunct/>
        <w:ind w:firstLine="540"/>
        <w:jc w:val="right"/>
        <w:rPr>
          <w:rFonts w:ascii="Times New Roman" w:hAnsi="Times New Roman"/>
          <w:kern w:val="0"/>
          <w:sz w:val="18"/>
          <w:szCs w:val="18"/>
        </w:rPr>
      </w:pPr>
      <w:r w:rsidRPr="0006056E">
        <w:rPr>
          <w:rFonts w:ascii="Times New Roman" w:hAnsi="Times New Roman"/>
          <w:noProof/>
          <w:kern w:val="0"/>
          <w:position w:val="-12"/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1"/>
        <w:gridCol w:w="1864"/>
        <w:gridCol w:w="1651"/>
        <w:gridCol w:w="1806"/>
      </w:tblGrid>
      <w:tr w:rsidR="0006056E" w:rsidRPr="0006056E" w:rsidTr="0006056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приобретение канцелярских принадлежностей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22" o:spid="_x0000_i1076" type="#_x0000_t75" alt="base_23739_120272_904" style="width:21.75pt;height:17.25pt;visibility:visible;mso-wrap-style:square" filled="t">
                  <v:imagedata r:id="rId47" o:title="base_23739_120272_904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приобретение хозяйственных товаров и принадлежностей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21" o:spid="_x0000_i1077" type="#_x0000_t75" alt="base_23739_120272_909" style="width:17.25pt;height:17.25pt;visibility:visible;mso-wrap-style:square" filled="t">
                  <v:imagedata r:id="rId48" o:title="base_23739_120272_909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приобретение горюче-смазочных материалов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20" o:spid="_x0000_i1078" type="#_x0000_t75" alt="base_23739_120272_913" style="width:17.25pt;height:17.25pt;visibility:visible;mso-wrap-style:square" filled="t">
                  <v:imagedata r:id="rId49" o:title="base_23739_120272_913"/>
                </v:shape>
              </w:pic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Запасные части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Затраты на приобретение бланочной продукции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9" o:spid="_x0000_i1079" type="#_x0000_t75" alt="base_23739_120272_898" style="width:9pt;height:17.25pt;visibility:visible;mso-wrap-style:square" filled="t">
                  <v:imagedata r:id="rId50" o:title="base_23739_120272_898"/>
                </v:shape>
              </w:pict>
            </w:r>
          </w:p>
        </w:tc>
      </w:tr>
      <w:tr w:rsidR="0006056E" w:rsidRPr="0006056E" w:rsidTr="0006056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18382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120209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105664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40500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5000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15.1. Затраты на приобретение бланочной продукции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18" o:spid="_x0000_i1080" type="#_x0000_t75" alt="base_23739_120272_898" style="width:9pt;height:17.25pt;visibility:visible;mso-wrap-style:square" filled="t">
            <v:imagedata r:id="rId50" o:title="base_23739_120272_898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 xml:space="preserve">) производятся в соответствии с таблицей:  </w:t>
      </w:r>
    </w:p>
    <w:p w:rsidR="0006056E" w:rsidRPr="0006056E" w:rsidRDefault="0006056E" w:rsidP="0006056E">
      <w:pPr>
        <w:suppressAutoHyphens w:val="0"/>
        <w:overflowPunct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742"/>
        <w:gridCol w:w="1807"/>
        <w:gridCol w:w="2363"/>
      </w:tblGrid>
      <w:tr w:rsidR="0006056E" w:rsidRPr="0006056E" w:rsidTr="0006056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Количество прочей бланочной продукции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17" o:spid="_x0000_i1081" type="#_x0000_t75" alt="base_23739_120272_902" style="width:21.75pt;height:17.25pt;visibility:visible;mso-wrap-style:square" filled="t">
                  <v:imagedata r:id="rId51" o:title="base_23739_120272_902"/>
                </v:shape>
              </w:pic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Численность работников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6" o:spid="_x0000_i1082" type="#_x0000_t75" alt="base_23739_120272_907" style="width:17.25pt;height:17.25pt;visibility:visible;mso-wrap-style:square" filled="t">
                  <v:imagedata r:id="rId52" o:title="base_23739_120272_907"/>
                </v:shape>
              </w:pic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Цена 1 единицы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15" o:spid="_x0000_i1083" type="#_x0000_t75" alt="base_23739_120272_903" style="width:17.25pt;height:17.25pt;visibility:visible;mso-wrap-style:square" filled="t">
                  <v:imagedata r:id="rId53" o:title="base_23739_120272_903"/>
                </v:shape>
              </w:pic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Сумма затрат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4" o:spid="_x0000_i1084" type="#_x0000_t75" alt="base_23739_120272_898" style="width:9pt;height:17.25pt;visibility:visible;mso-wrap-style:square" filled="t">
                  <v:imagedata r:id="rId50" o:title="base_23739_120272_898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 xml:space="preserve">                             (руб)</w:t>
            </w:r>
          </w:p>
        </w:tc>
      </w:tr>
      <w:tr w:rsidR="0006056E" w:rsidRPr="0006056E" w:rsidTr="0006056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5,00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5000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15.2. Затраты на приобретение канцелярских принадлежностей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13" o:spid="_x0000_i1085" type="#_x0000_t75" alt="base_23739_120272_904" style="width:21.75pt;height:17.25pt;visibility:visible;mso-wrap-style:square" filled="t">
            <v:imagedata r:id="rId47" o:title="base_23739_120272_904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>) производятся в соответствии  с таблицей:</w:t>
      </w:r>
    </w:p>
    <w:p w:rsidR="0006056E" w:rsidRPr="0006056E" w:rsidRDefault="0006056E" w:rsidP="0006056E">
      <w:pPr>
        <w:suppressAutoHyphens w:val="0"/>
        <w:overflowPunct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003"/>
        <w:gridCol w:w="2168"/>
        <w:gridCol w:w="1539"/>
        <w:gridCol w:w="1639"/>
      </w:tblGrid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 xml:space="preserve">Количество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12" o:spid="_x0000_i1086" type="#_x0000_t75" alt="base_23739_120272_906" style="width:26.25pt;height:17.25pt;visibility:visible;mso-wrap-style:square" filled="t">
                  <v:imagedata r:id="rId54" o:title="base_23739_120272_906"/>
                </v:shape>
              </w:pic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Численность работников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1" o:spid="_x0000_i1087" type="#_x0000_t75" alt="base_23739_120272_907" style="width:17.25pt;height:17.25pt;visibility:visible;mso-wrap-style:square" filled="t">
                  <v:imagedata r:id="rId52" o:title="base_23739_120272_907"/>
                </v:shape>
              </w:pic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цена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0" o:spid="_x0000_i1088" type="#_x0000_t75" alt="base_23739_120272_904" style="width:21.75pt;height:17.25pt;visibility:visible;mso-wrap-style:square" filled="t">
                  <v:imagedata r:id="rId47" o:title="base_23739_120272_904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t xml:space="preserve">                (</w:t>
            </w: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руб)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Бумага для ксерокса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12000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Клей -карандаш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Корректирующая жидкость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450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Папка-скоросшиватель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750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Папка бумажная с завязками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624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Ручка гелевая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720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Ручка шариковая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648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Карандаш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288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Бумага для факса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560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Файлы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500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Тетрадь общая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420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Ватман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Скобы для степлера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150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Кнопки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120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Зажим для бумаг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500</w:t>
            </w:r>
          </w:p>
        </w:tc>
      </w:tr>
      <w:tr w:rsidR="0006056E" w:rsidRPr="0006056E" w:rsidTr="0006056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Скрепки крупные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13,00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52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15.3. Затраты на приобретение хозяйственных товаров и принадлежностей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9" o:spid="_x0000_i1089" type="#_x0000_t75" alt="base_23739_120272_909" style="width:17.25pt;height:17.25pt;visibility:visible;mso-wrap-style:square" filled="t">
            <v:imagedata r:id="rId48" o:title="base_23739_120272_909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>) производятся в соответствии с таблицей: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Расчетное количество работников по затратам на  материальные запасы – 19 человека</w:t>
      </w:r>
    </w:p>
    <w:p w:rsidR="0006056E" w:rsidRPr="0006056E" w:rsidRDefault="0006056E" w:rsidP="0006056E">
      <w:pPr>
        <w:suppressAutoHyphens w:val="0"/>
        <w:overflowPunct/>
        <w:ind w:firstLine="54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318"/>
        <w:gridCol w:w="2452"/>
        <w:gridCol w:w="2305"/>
      </w:tblGrid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 xml:space="preserve">Цена 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8" o:spid="_x0000_i1090" type="#_x0000_t75" alt="base_23739_120272_911" style="width:17.25pt;height:17.25pt;visibility:visible;mso-wrap-style:square" filled="t">
                  <v:imagedata r:id="rId55" o:title="base_23739_120272_911"/>
                </v:shape>
              </w:pic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количество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4"/>
                <w:szCs w:val="24"/>
              </w:rPr>
              <w:pict>
                <v:shape id="Рисунок 7" o:spid="_x0000_i1091" type="#_x0000_t75" alt="base_23739_120272_912" style="width:21.75pt;height:17.25pt;visibility:visible;mso-wrap-style:square" filled="t">
                  <v:imagedata r:id="rId56" o:title="base_23739_120272_912"/>
                </v:shape>
              </w:pic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 xml:space="preserve"> Сумма  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6" o:spid="_x0000_i1092" type="#_x0000_t75" alt="base_23739_120272_909" style="width:17.25pt;height:17.25pt;visibility:visible;mso-wrap-style:square" filled="t">
                  <v:imagedata r:id="rId48" o:title="base_23739_120272_909"/>
                </v:shape>
              </w:pict>
            </w: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t xml:space="preserve">      </w:t>
            </w:r>
            <w:r w:rsidRPr="0006056E">
              <w:rPr>
                <w:rFonts w:ascii="Times New Roman" w:hAnsi="Times New Roman"/>
                <w:noProof/>
                <w:kern w:val="0"/>
                <w:position w:val="-12"/>
              </w:rPr>
              <w:t xml:space="preserve"> (</w:t>
            </w: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18"/>
                <w:szCs w:val="18"/>
              </w:rPr>
              <w:t>руб)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 xml:space="preserve">Венки к 9 мая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650,00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1950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Призы на мероприятия для СДК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90,77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287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26000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lastRenderedPageBreak/>
              <w:t>Лампы  ртутно- вольфрамовые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421,20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20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8424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Светодиодный светильник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1186,23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35587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Лампы ДРЛ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250,00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40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10000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Краска водоэмульсионная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99,20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9,0 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1008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Краска-эмаль «старт»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194,44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25,0 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2480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Порошек стиральный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90,00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5 упаковок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450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color w:val="000000"/>
                <w:kern w:val="0"/>
              </w:rPr>
              <w:t>Лампочки электрические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120,00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 штук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3600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Мыло туалетное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15 штук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450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Ведро пластмассовое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90,00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4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Веник «Сорго»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100,00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800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Перчатки рабочие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15,00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20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300</w:t>
            </w:r>
          </w:p>
        </w:tc>
      </w:tr>
      <w:tr w:rsidR="0006056E" w:rsidRPr="0006056E" w:rsidTr="0006056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Огнетушитель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3600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8 шт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</w:rPr>
              <w:t>28800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widowControl/>
        <w:numPr>
          <w:ilvl w:val="1"/>
          <w:numId w:val="7"/>
        </w:numPr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Затраты на приобретение горюче-смазочных материалов (</w:t>
      </w:r>
      <w:r w:rsidR="009B0F16">
        <w:rPr>
          <w:rFonts w:ascii="Times New Roman" w:hAnsi="Times New Roman"/>
          <w:noProof/>
          <w:kern w:val="0"/>
          <w:position w:val="-12"/>
          <w:sz w:val="24"/>
          <w:szCs w:val="24"/>
        </w:rPr>
        <w:pict>
          <v:shape id="Рисунок 5" o:spid="_x0000_i1093" type="#_x0000_t75" alt="base_23739_120272_913" style="width:17.25pt;height:17.25pt;visibility:visible;mso-wrap-style:square" filled="t">
            <v:imagedata r:id="rId49" o:title="base_23739_120272_913"/>
          </v:shape>
        </w:pict>
      </w:r>
      <w:r w:rsidRPr="0006056E">
        <w:rPr>
          <w:rFonts w:ascii="Times New Roman" w:hAnsi="Times New Roman"/>
          <w:kern w:val="0"/>
          <w:sz w:val="24"/>
          <w:szCs w:val="24"/>
        </w:rPr>
        <w:t>)производятся в соответствии с таблицей :</w:t>
      </w:r>
    </w:p>
    <w:p w:rsidR="0006056E" w:rsidRPr="0006056E" w:rsidRDefault="0006056E" w:rsidP="0006056E">
      <w:pPr>
        <w:suppressAutoHyphens w:val="0"/>
        <w:overflowPunct/>
        <w:ind w:left="36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750"/>
        <w:gridCol w:w="1652"/>
        <w:gridCol w:w="1632"/>
        <w:gridCol w:w="1554"/>
        <w:gridCol w:w="1476"/>
      </w:tblGrid>
      <w:tr w:rsidR="0006056E" w:rsidRPr="0006056E" w:rsidTr="000605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Марка ТС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Норма расхода топлива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4" o:spid="_x0000_i1094" type="#_x0000_t75" alt="base_23739_120272_915" style="width:21.75pt;height:17.25pt;visibility:visible;mso-wrap-style:square" filled="t">
                  <v:imagedata r:id="rId57" o:title="base_23739_120272_915"/>
                </v:shape>
              </w:pic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Цена 1 л ГСМ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3" o:spid="_x0000_i1095" type="#_x0000_t75" alt="base_23739_120272_916" style="width:24pt;height:17.25pt;visibility:visible;mso-wrap-style:square" filled="t">
                  <v:imagedata r:id="rId58" o:title="base_23739_120272_916"/>
                </v:shape>
              </w:pic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Кол-во рабочих дней</w:t>
            </w:r>
            <w:r w:rsidR="009B0F16">
              <w:rPr>
                <w:rFonts w:ascii="Times New Roman" w:hAnsi="Times New Roman"/>
                <w:noProof/>
                <w:kern w:val="0"/>
                <w:position w:val="-14"/>
                <w:sz w:val="20"/>
                <w:szCs w:val="20"/>
              </w:rPr>
              <w:pict>
                <v:shape id="Рисунок 2" o:spid="_x0000_i1096" type="#_x0000_t75" alt="base_23739_120272_917" style="width:21.75pt;height:17.25pt;visibility:visible;mso-wrap-style:square" filled="t">
                  <v:imagedata r:id="rId59" o:title="base_23739_120272_917"/>
                </v:shape>
              </w:pic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Планируемый средний пробег автомобиля  в день км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сумма</w:t>
            </w:r>
            <w:r w:rsidR="009B0F16"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  <w:pict>
                <v:shape id="Рисунок 1" o:spid="_x0000_i1097" type="#_x0000_t75" alt="base_23739_120272_913" style="width:17.25pt;height:17.25pt;visibility:visible;mso-wrap-style:square" filled="t">
                  <v:imagedata r:id="rId49" o:title="base_23739_120272_913"/>
                </v:shape>
              </w:pic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noProof/>
                <w:kern w:val="0"/>
                <w:position w:val="-12"/>
                <w:sz w:val="24"/>
                <w:szCs w:val="24"/>
              </w:rPr>
            </w:pP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noProof/>
                <w:kern w:val="0"/>
                <w:position w:val="-12"/>
                <w:sz w:val="20"/>
                <w:szCs w:val="20"/>
              </w:rPr>
              <w:t>(руб)</w:t>
            </w:r>
          </w:p>
        </w:tc>
      </w:tr>
      <w:tr w:rsidR="0006056E" w:rsidRPr="0006056E" w:rsidTr="000605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ГАЗ 3302</w:t>
            </w:r>
          </w:p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16,0  летнее с 01.04 по 31.10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42,36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32024</w:t>
            </w:r>
          </w:p>
        </w:tc>
      </w:tr>
      <w:tr w:rsidR="0006056E" w:rsidRPr="0006056E" w:rsidTr="000605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ГАЗ 3302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17,6 зимнее с 01.11 по 31.03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42,36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39140</w:t>
            </w:r>
          </w:p>
        </w:tc>
      </w:tr>
      <w:tr w:rsidR="0006056E" w:rsidRPr="0006056E" w:rsidTr="000605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АРАЛ-375А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64,0 на 100 км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42,36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056E">
              <w:rPr>
                <w:rFonts w:ascii="Times New Roman" w:hAnsi="Times New Roman"/>
                <w:kern w:val="0"/>
                <w:sz w:val="20"/>
                <w:szCs w:val="20"/>
              </w:rPr>
              <w:t>34500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left="36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Расчет произведен по факту 2018 года в соответствии с таблицей:</w:t>
      </w:r>
    </w:p>
    <w:p w:rsidR="0006056E" w:rsidRPr="0006056E" w:rsidRDefault="0006056E" w:rsidP="0006056E">
      <w:pPr>
        <w:suppressAutoHyphens w:val="0"/>
        <w:overflowPunct/>
        <w:ind w:firstLine="540"/>
        <w:jc w:val="center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 xml:space="preserve">                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</w:tblGrid>
      <w:tr w:rsidR="0006056E" w:rsidRPr="0006056E" w:rsidTr="0006056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Сумма</w: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Запасные части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40500</w:t>
            </w:r>
          </w:p>
        </w:tc>
      </w:tr>
    </w:tbl>
    <w:p w:rsidR="0006056E" w:rsidRPr="0006056E" w:rsidRDefault="0006056E" w:rsidP="0006056E">
      <w:pPr>
        <w:suppressAutoHyphens w:val="0"/>
        <w:overflowPunct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IV. Затраты на финансовое обеспечение строительства,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реконструкции (в том числе с элементами реставрации),</w:t>
      </w:r>
    </w:p>
    <w:p w:rsidR="0006056E" w:rsidRPr="0006056E" w:rsidRDefault="0006056E" w:rsidP="0006056E">
      <w:pPr>
        <w:suppressAutoHyphens w:val="0"/>
        <w:overflowPunct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06056E">
        <w:rPr>
          <w:rFonts w:ascii="Times New Roman" w:hAnsi="Times New Roman"/>
          <w:b/>
          <w:kern w:val="0"/>
          <w:sz w:val="24"/>
          <w:szCs w:val="24"/>
        </w:rPr>
        <w:t>технического перевооружения объектов капитального строительства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 xml:space="preserve">17.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60" w:history="1">
        <w:r w:rsidRPr="0006056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статьей 22</w:t>
        </w:r>
      </w:hyperlink>
      <w:r w:rsidRPr="0006056E">
        <w:rPr>
          <w:rFonts w:ascii="Times New Roman" w:hAnsi="Times New Roman"/>
          <w:kern w:val="0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06056E">
        <w:rPr>
          <w:rFonts w:ascii="Times New Roman" w:hAnsi="Times New Roman"/>
          <w:kern w:val="0"/>
          <w:sz w:val="24"/>
          <w:szCs w:val="24"/>
        </w:rPr>
        <w:t>17.1  Затраты  производятся в соответствии с таблицей:</w:t>
      </w:r>
    </w:p>
    <w:p w:rsidR="0006056E" w:rsidRPr="0006056E" w:rsidRDefault="0006056E" w:rsidP="0006056E">
      <w:pPr>
        <w:suppressAutoHyphens w:val="0"/>
        <w:overflowPunct/>
        <w:ind w:firstLine="540"/>
        <w:jc w:val="right"/>
        <w:rPr>
          <w:rFonts w:ascii="Times New Roman" w:hAnsi="Times New Roman"/>
          <w:kern w:val="0"/>
          <w:sz w:val="20"/>
          <w:szCs w:val="20"/>
        </w:rPr>
      </w:pPr>
      <w:r w:rsidRPr="0006056E">
        <w:rPr>
          <w:rFonts w:ascii="Times New Roman" w:hAnsi="Times New Roman"/>
          <w:kern w:val="0"/>
          <w:sz w:val="20"/>
          <w:szCs w:val="20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749"/>
      </w:tblGrid>
      <w:tr w:rsidR="0006056E" w:rsidRPr="0006056E" w:rsidTr="0006056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Сумма</w:t>
            </w:r>
          </w:p>
          <w:p w:rsidR="0006056E" w:rsidRPr="0006056E" w:rsidRDefault="0006056E" w:rsidP="0006056E">
            <w:pPr>
              <w:suppressAutoHyphens w:val="0"/>
              <w:overflowPunct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6056E">
              <w:rPr>
                <w:rFonts w:ascii="Times New Roman" w:hAnsi="Times New Roman"/>
                <w:kern w:val="0"/>
                <w:sz w:val="18"/>
                <w:szCs w:val="18"/>
              </w:rPr>
              <w:t>(руб)</w:t>
            </w:r>
          </w:p>
        </w:tc>
      </w:tr>
      <w:tr w:rsidR="0006056E" w:rsidRPr="0006056E" w:rsidTr="0006056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Зимнее содержание дорог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500000</w:t>
            </w:r>
          </w:p>
        </w:tc>
      </w:tr>
      <w:tr w:rsidR="0006056E" w:rsidRPr="0006056E" w:rsidTr="0006056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Текущий ремонт дорог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E" w:rsidRPr="0006056E" w:rsidRDefault="0006056E" w:rsidP="0006056E">
            <w:pPr>
              <w:suppressAutoHyphens w:val="0"/>
              <w:overflowPunct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056E">
              <w:rPr>
                <w:rFonts w:ascii="Times New Roman" w:hAnsi="Times New Roman"/>
                <w:kern w:val="0"/>
                <w:sz w:val="24"/>
                <w:szCs w:val="24"/>
              </w:rPr>
              <w:t>1235600</w:t>
            </w:r>
          </w:p>
        </w:tc>
      </w:tr>
    </w:tbl>
    <w:p w:rsidR="0006056E" w:rsidRPr="0006056E" w:rsidRDefault="0006056E" w:rsidP="0006056E">
      <w:pPr>
        <w:suppressAutoHyphens w:val="0"/>
        <w:overflowPunct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06056E" w:rsidRDefault="0006056E" w:rsidP="009B0F16">
      <w:pPr>
        <w:tabs>
          <w:tab w:val="left" w:pos="6096"/>
        </w:tabs>
      </w:pPr>
      <w:bookmarkStart w:id="1" w:name="_GoBack"/>
      <w:bookmarkEnd w:id="1"/>
    </w:p>
    <w:sectPr w:rsidR="0006056E" w:rsidSect="00BE65D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AFD"/>
    <w:multiLevelType w:val="multilevel"/>
    <w:tmpl w:val="66FEB5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>
    <w:nsid w:val="3EBD1F10"/>
    <w:multiLevelType w:val="multilevel"/>
    <w:tmpl w:val="E0BC36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/>
      </w:rPr>
    </w:lvl>
  </w:abstractNum>
  <w:abstractNum w:abstractNumId="3">
    <w:nsid w:val="5BE07C59"/>
    <w:multiLevelType w:val="multilevel"/>
    <w:tmpl w:val="E32E033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FC025B2"/>
    <w:multiLevelType w:val="multilevel"/>
    <w:tmpl w:val="E32E033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06"/>
    <w:rsid w:val="00030026"/>
    <w:rsid w:val="000406E5"/>
    <w:rsid w:val="00052239"/>
    <w:rsid w:val="0006056E"/>
    <w:rsid w:val="000A50B2"/>
    <w:rsid w:val="00132305"/>
    <w:rsid w:val="00195585"/>
    <w:rsid w:val="001A6538"/>
    <w:rsid w:val="002209A8"/>
    <w:rsid w:val="00250586"/>
    <w:rsid w:val="00290530"/>
    <w:rsid w:val="002B40B3"/>
    <w:rsid w:val="002C7BD3"/>
    <w:rsid w:val="00310C9E"/>
    <w:rsid w:val="00331915"/>
    <w:rsid w:val="00374A80"/>
    <w:rsid w:val="00380ACA"/>
    <w:rsid w:val="003962E7"/>
    <w:rsid w:val="003E2FA4"/>
    <w:rsid w:val="003F0606"/>
    <w:rsid w:val="004001A3"/>
    <w:rsid w:val="00421B49"/>
    <w:rsid w:val="004465AA"/>
    <w:rsid w:val="004A48B2"/>
    <w:rsid w:val="004A52A6"/>
    <w:rsid w:val="00541E6D"/>
    <w:rsid w:val="005D037E"/>
    <w:rsid w:val="00634C07"/>
    <w:rsid w:val="006368D5"/>
    <w:rsid w:val="00641408"/>
    <w:rsid w:val="00650290"/>
    <w:rsid w:val="007010B9"/>
    <w:rsid w:val="007170C1"/>
    <w:rsid w:val="00783DAF"/>
    <w:rsid w:val="007B2E4D"/>
    <w:rsid w:val="00812858"/>
    <w:rsid w:val="0082232F"/>
    <w:rsid w:val="00872DCE"/>
    <w:rsid w:val="008E7E55"/>
    <w:rsid w:val="00905552"/>
    <w:rsid w:val="00906370"/>
    <w:rsid w:val="0090750C"/>
    <w:rsid w:val="0091087C"/>
    <w:rsid w:val="00994810"/>
    <w:rsid w:val="009B0F16"/>
    <w:rsid w:val="009B2730"/>
    <w:rsid w:val="009B7AE6"/>
    <w:rsid w:val="009C5A14"/>
    <w:rsid w:val="00A25514"/>
    <w:rsid w:val="00A745D6"/>
    <w:rsid w:val="00A96ED1"/>
    <w:rsid w:val="00B076E0"/>
    <w:rsid w:val="00B14E54"/>
    <w:rsid w:val="00BB428D"/>
    <w:rsid w:val="00BB62FA"/>
    <w:rsid w:val="00BE38DD"/>
    <w:rsid w:val="00BE65D7"/>
    <w:rsid w:val="00BF1080"/>
    <w:rsid w:val="00C27515"/>
    <w:rsid w:val="00C514C5"/>
    <w:rsid w:val="00D11FC3"/>
    <w:rsid w:val="00D26D1A"/>
    <w:rsid w:val="00DF199F"/>
    <w:rsid w:val="00E5462A"/>
    <w:rsid w:val="00E84881"/>
    <w:rsid w:val="00E95435"/>
    <w:rsid w:val="00E96CB1"/>
    <w:rsid w:val="00E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A6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5D7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Calibri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hyperlink" Target="consultantplus://offline/ref=F116F124E51506E98B764D118187ECC3BBFD66E899874413BD3F4B04C379DFFEA30EF3A1626802F7j1k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9E6B-F4B0-43F4-8EF8-2D7D64C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dcterms:created xsi:type="dcterms:W3CDTF">2018-04-12T04:45:00Z</dcterms:created>
  <dcterms:modified xsi:type="dcterms:W3CDTF">2019-08-28T11:12:00Z</dcterms:modified>
</cp:coreProperties>
</file>