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97B235" wp14:editId="709C7F0E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84" w:rsidRPr="002B1F84" w:rsidRDefault="002B1F84" w:rsidP="002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F8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ВОЗДВИЖЕНСКОГО СЕЛЬСОВЕТА</w:t>
      </w:r>
    </w:p>
    <w:p w:rsidR="002B1F84" w:rsidRPr="002B1F84" w:rsidRDefault="002B1F84" w:rsidP="002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F8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2B1F84" w:rsidRPr="002B1F84" w:rsidRDefault="002B1F84" w:rsidP="002B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F8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2B1F84" w:rsidRPr="002B1F84" w:rsidRDefault="002B1F84" w:rsidP="002B1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F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336C9" w:rsidRPr="00A07E62" w:rsidRDefault="002B1F84" w:rsidP="00A4542E">
      <w:pPr>
        <w:tabs>
          <w:tab w:val="left" w:pos="836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A4542E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>202</w:t>
      </w:r>
      <w:r w:rsidR="00C06270">
        <w:rPr>
          <w:rFonts w:ascii="Times New Roman" w:eastAsia="Calibri" w:hAnsi="Times New Roman" w:cs="Times New Roman"/>
          <w:sz w:val="28"/>
          <w:szCs w:val="28"/>
        </w:rPr>
        <w:t>2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336C9" w:rsidRPr="00A07E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A4542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C06270" w:rsidRPr="002B1F84" w:rsidRDefault="00C06270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2B1F8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О внесении изменений в </w:t>
      </w:r>
      <w:r w:rsidR="00A915D1" w:rsidRPr="002B1F8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административн</w:t>
      </w:r>
      <w:r w:rsidRPr="002B1F8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ый</w:t>
      </w:r>
      <w:r w:rsidR="00A915D1" w:rsidRPr="002B1F8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регламент </w:t>
      </w:r>
      <w:r w:rsidR="00211E27" w:rsidRPr="002B1F84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2B1F84" w:rsidRPr="002B1F84">
        <w:rPr>
          <w:rFonts w:ascii="Times New Roman" w:hAnsi="Times New Roman" w:cs="Times New Roman"/>
          <w:b/>
          <w:bCs/>
          <w:sz w:val="32"/>
          <w:szCs w:val="32"/>
        </w:rPr>
        <w:t>Воздвиженского</w:t>
      </w:r>
      <w:r w:rsidR="00211E27" w:rsidRPr="002B1F84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по предоставлению муниципально</w:t>
      </w:r>
      <w:r w:rsidR="002B1F84" w:rsidRPr="002B1F84">
        <w:rPr>
          <w:rFonts w:ascii="Times New Roman" w:hAnsi="Times New Roman" w:cs="Times New Roman"/>
          <w:b/>
          <w:bCs/>
          <w:sz w:val="32"/>
          <w:szCs w:val="32"/>
        </w:rPr>
        <w:t xml:space="preserve">й услуги «Выдача разрешений на </w:t>
      </w:r>
      <w:r w:rsidR="00211E27" w:rsidRPr="002B1F84">
        <w:rPr>
          <w:rFonts w:ascii="Times New Roman" w:hAnsi="Times New Roman" w:cs="Times New Roman"/>
          <w:b/>
          <w:bCs/>
          <w:sz w:val="32"/>
          <w:szCs w:val="32"/>
        </w:rPr>
        <w:t xml:space="preserve">вырубку деревьев и кустарников на территории </w:t>
      </w:r>
      <w:r w:rsidR="002B1F84" w:rsidRPr="002B1F84">
        <w:rPr>
          <w:rFonts w:ascii="Times New Roman" w:hAnsi="Times New Roman" w:cs="Times New Roman"/>
          <w:b/>
          <w:sz w:val="32"/>
          <w:szCs w:val="32"/>
        </w:rPr>
        <w:t>Воздвиженского</w:t>
      </w:r>
      <w:r w:rsidR="00211E27" w:rsidRPr="002B1F84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 w:rsidR="00211E27" w:rsidRPr="002B1F84">
        <w:rPr>
          <w:rFonts w:ascii="Times New Roman" w:hAnsi="Times New Roman" w:cs="Times New Roman"/>
          <w:b/>
          <w:bCs/>
          <w:sz w:val="32"/>
          <w:szCs w:val="32"/>
        </w:rPr>
        <w:t xml:space="preserve"> Воскресенского муниципального района Нижегородской области»</w:t>
      </w:r>
    </w:p>
    <w:p w:rsidR="00A915D1" w:rsidRPr="00A336C9" w:rsidRDefault="00A915D1" w:rsidP="000C3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C0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 w:rsidRPr="000C36E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C36E7" w:rsidRPr="000C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10 января 2002 года № 7-ФЗ "Об охране окружающей среды",</w:t>
      </w:r>
      <w:r w:rsidR="000C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2B1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2B1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proofErr w:type="gramEnd"/>
      <w:r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A336C9" w:rsidRPr="002B1F8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A336C9" w:rsidRPr="00A3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15D1" w:rsidRPr="00A336C9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Внести в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административный регламент </w:t>
      </w:r>
      <w:r w:rsidR="00211E27"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1F84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«</w:t>
      </w:r>
      <w:r w:rsidR="00211E27"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вырубку деревьев и кустарников на территории </w:t>
      </w:r>
      <w:r w:rsidR="002B1F84">
        <w:rPr>
          <w:rFonts w:ascii="Times New Roman" w:hAnsi="Times New Roman" w:cs="Times New Roman"/>
          <w:sz w:val="28"/>
          <w:szCs w:val="28"/>
        </w:rPr>
        <w:t>Воздвиженского</w:t>
      </w:r>
      <w:r w:rsidR="00211E27"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1E27"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области»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2B1F8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утвержденный постановлением администрации Воздвиженского сельсовета Воскресенского муниципального района Нижегородской области № 20 от 21 марта 2013 года </w:t>
      </w:r>
      <w:r w:rsidR="00C0627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следующие изменения:</w:t>
      </w:r>
    </w:p>
    <w:p w:rsidR="00C06270" w:rsidRDefault="00C06270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1.2.Изложить 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211E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в новой редакции: </w:t>
      </w:r>
    </w:p>
    <w:p w:rsidR="00C06270" w:rsidRDefault="00C06270" w:rsidP="00AD5C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1E27" w:rsidRPr="00211E2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11E27" w:rsidRPr="00211E27">
        <w:rPr>
          <w:rFonts w:ascii="Times New Roman" w:hAnsi="Times New Roman" w:cs="Times New Roman"/>
          <w:sz w:val="28"/>
          <w:szCs w:val="28"/>
        </w:rPr>
        <w:t>)</w:t>
      </w:r>
      <w:r w:rsidR="00211E27" w:rsidRPr="00AD5C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1E27" w:rsidRPr="00AD5CBD">
        <w:rPr>
          <w:rFonts w:ascii="Times New Roman" w:hAnsi="Times New Roman" w:cs="Times New Roman"/>
          <w:sz w:val="28"/>
          <w:szCs w:val="28"/>
        </w:rPr>
        <w:t xml:space="preserve">тказ от возмещения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компенсационной стоимости при уничтожении (вырубке, сн</w:t>
      </w:r>
      <w:r w:rsidR="00A45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се) и (или) повреждении зеленых насаждений и компенсационного озеленения</w:t>
      </w:r>
      <w:r w:rsidR="00AD5CBD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</w:t>
      </w:r>
      <w:r w:rsidR="00211E27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компенсационной стоимости при уничтожении (вырубке, </w:t>
      </w:r>
      <w:r w:rsidR="00A4542E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сносе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9A1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Воздвиженского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E27" w:rsidRPr="00AD5CBD">
        <w:rPr>
          <w:rFonts w:ascii="Times New Roman" w:hAnsi="Times New Roman" w:cs="Times New Roman"/>
          <w:sz w:val="28"/>
          <w:szCs w:val="28"/>
        </w:rPr>
        <w:t>и</w:t>
      </w:r>
      <w:r w:rsidR="00211E27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компенсационной стоимости при уничтожении (вырубке, сносе) и (или) повреждении зеленых насаждений и компенсационного озеленения</w:t>
      </w:r>
      <w:proofErr w:type="gramStart"/>
      <w:r w:rsidR="00211E27">
        <w:rPr>
          <w:rFonts w:ascii="Times New Roman" w:hAnsi="Times New Roman" w:cs="Times New Roman"/>
          <w:sz w:val="28"/>
          <w:szCs w:val="28"/>
        </w:rPr>
        <w:t>;</w:t>
      </w:r>
      <w:r w:rsidRPr="00211E2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5CBD" w:rsidRDefault="00211E27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2.Дополнить 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административный регламент </w:t>
      </w:r>
      <w:r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984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вырубку деревьев и кустарников на территории </w:t>
      </w:r>
      <w:r w:rsidR="009A1984">
        <w:rPr>
          <w:rFonts w:ascii="Times New Roman" w:hAnsi="Times New Roman" w:cs="Times New Roman"/>
          <w:sz w:val="28"/>
          <w:szCs w:val="28"/>
        </w:rPr>
        <w:lastRenderedPageBreak/>
        <w:t>Воздвиженского</w:t>
      </w:r>
      <w:r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CB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риложением </w:t>
      </w:r>
      <w:r w:rsidR="00AD5CBD">
        <w:rPr>
          <w:rFonts w:ascii="Times New Roman" w:hAnsi="Times New Roman" w:cs="Times New Roman"/>
          <w:bCs/>
          <w:sz w:val="28"/>
          <w:szCs w:val="28"/>
        </w:rPr>
        <w:t>6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CBD">
        <w:rPr>
          <w:rFonts w:ascii="Times New Roman" w:hAnsi="Times New Roman" w:cs="Times New Roman"/>
          <w:bCs/>
          <w:sz w:val="28"/>
          <w:szCs w:val="28"/>
        </w:rPr>
        <w:t>«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компенсационной стоимости при уничтожении (вырубке, </w:t>
      </w:r>
      <w:r w:rsidR="00A4542E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сносе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(или) повреждении зеленых насаждений и компенсационного озеленения на территории </w:t>
      </w:r>
      <w:r w:rsidR="009A1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Воздвиженского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CBD" w:rsidRPr="00AD5CBD">
        <w:rPr>
          <w:rFonts w:ascii="Times New Roman" w:hAnsi="Times New Roman" w:cs="Times New Roman"/>
          <w:sz w:val="28"/>
          <w:szCs w:val="28"/>
        </w:rPr>
        <w:t>и</w:t>
      </w:r>
      <w:r w:rsidR="00AD5CBD"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компенсационной стоимости при</w:t>
      </w:r>
      <w:proofErr w:type="gramEnd"/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уничтожении</w:t>
      </w:r>
      <w:proofErr w:type="gramEnd"/>
      <w:r w:rsidR="00AD5CBD" w:rsidRP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(вырубке, сносе) и (или) повреждении зеленых насаждений и компенсационного озеленения</w:t>
      </w:r>
      <w:r w:rsidR="00AD5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211E27" w:rsidRDefault="00AD5CBD" w:rsidP="00A915D1">
      <w:pPr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3.Дополнить </w:t>
      </w:r>
      <w:r w:rsidRPr="00A336C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административный регламент </w:t>
      </w:r>
      <w:r w:rsidRPr="00211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984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сельсовета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Выдача разрешений на 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вырубку деревьев и кустарников на территории </w:t>
      </w:r>
      <w:r w:rsidR="009A1984">
        <w:rPr>
          <w:rFonts w:ascii="Times New Roman" w:hAnsi="Times New Roman" w:cs="Times New Roman"/>
          <w:sz w:val="28"/>
          <w:szCs w:val="28"/>
        </w:rPr>
        <w:t>Воздвиженского</w:t>
      </w:r>
      <w:r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Приложением 7 «Ме</w:t>
      </w:r>
      <w:r w:rsidR="00920EA3">
        <w:rPr>
          <w:rFonts w:ascii="Times New Roman" w:hAnsi="Times New Roman" w:cs="Times New Roman"/>
          <w:bCs/>
          <w:sz w:val="28"/>
          <w:szCs w:val="28"/>
        </w:rPr>
        <w:t xml:space="preserve">тодика </w:t>
      </w:r>
      <w:r w:rsidR="005435CE">
        <w:rPr>
          <w:rFonts w:ascii="Times New Roman" w:hAnsi="Times New Roman" w:cs="Times New Roman"/>
          <w:bCs/>
          <w:sz w:val="28"/>
          <w:szCs w:val="28"/>
        </w:rPr>
        <w:t xml:space="preserve">расчета стоимости </w:t>
      </w:r>
      <w:r w:rsidR="005435CE">
        <w:rPr>
          <w:rFonts w:ascii="Times New Roman" w:hAnsi="Times New Roman" w:cs="Times New Roman"/>
          <w:sz w:val="28"/>
          <w:szCs w:val="28"/>
        </w:rPr>
        <w:t>причиненного муниципальному образованию ущерба</w:t>
      </w:r>
      <w:r w:rsidR="00373CAA">
        <w:rPr>
          <w:rFonts w:ascii="Times New Roman" w:hAnsi="Times New Roman" w:cs="Times New Roman"/>
          <w:sz w:val="28"/>
          <w:szCs w:val="28"/>
        </w:rPr>
        <w:t xml:space="preserve"> 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>вырубк</w:t>
      </w:r>
      <w:r w:rsidR="00373CAA">
        <w:rPr>
          <w:rFonts w:ascii="Times New Roman" w:hAnsi="Times New Roman" w:cs="Times New Roman"/>
          <w:bCs/>
          <w:sz w:val="28"/>
          <w:szCs w:val="28"/>
        </w:rPr>
        <w:t>ой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 xml:space="preserve"> деревьев и кустарников на территории </w:t>
      </w:r>
      <w:r w:rsidR="009A1984">
        <w:rPr>
          <w:rFonts w:ascii="Times New Roman" w:hAnsi="Times New Roman" w:cs="Times New Roman"/>
          <w:sz w:val="28"/>
          <w:szCs w:val="28"/>
        </w:rPr>
        <w:t>Воздвиженского</w:t>
      </w:r>
      <w:r w:rsidR="00373CAA" w:rsidRPr="00211E2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73CAA" w:rsidRPr="00211E27">
        <w:rPr>
          <w:rFonts w:ascii="Times New Roman" w:hAnsi="Times New Roman" w:cs="Times New Roman"/>
          <w:bCs/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11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5D1" w:rsidRPr="00A336C9" w:rsidRDefault="00211E27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постановление путем вывешивания на информационном стенде в администрации </w:t>
      </w:r>
      <w:r w:rsidR="009A1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A336C9" w:rsidRDefault="00330C79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15D1" w:rsidRPr="00A336C9" w:rsidRDefault="00330C79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15D1" w:rsidRPr="00A336C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обнародования.</w:t>
      </w:r>
    </w:p>
    <w:p w:rsidR="00A915D1" w:rsidRPr="00A336C9" w:rsidRDefault="00A915D1" w:rsidP="00C062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D1" w:rsidRPr="00701B1E" w:rsidRDefault="00A915D1" w:rsidP="00C062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984" w:rsidRDefault="00A336C9" w:rsidP="00C06270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  <w:rPr>
          <w:color w:val="000000"/>
          <w:sz w:val="28"/>
          <w:szCs w:val="28"/>
        </w:rPr>
      </w:pPr>
      <w:r w:rsidRPr="00232A9C">
        <w:rPr>
          <w:color w:val="000000"/>
          <w:sz w:val="28"/>
          <w:szCs w:val="28"/>
        </w:rPr>
        <w:t>Глава администрации</w:t>
      </w:r>
    </w:p>
    <w:p w:rsidR="00E31D1A" w:rsidRDefault="009A1984" w:rsidP="009A1984">
      <w:pPr>
        <w:pStyle w:val="1"/>
        <w:shd w:val="clear" w:color="auto" w:fill="FFFFFF"/>
        <w:tabs>
          <w:tab w:val="left" w:pos="7371"/>
        </w:tabs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 сельсовета</w:t>
      </w:r>
      <w:r w:rsidR="00A336C9" w:rsidRPr="00232A9C">
        <w:rPr>
          <w:color w:val="000000"/>
          <w:sz w:val="28"/>
          <w:szCs w:val="28"/>
        </w:rPr>
        <w:t xml:space="preserve"> </w:t>
      </w:r>
      <w:r w:rsidR="00A336C9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И.Н.Охотников</w:t>
      </w:r>
      <w:proofErr w:type="spellEnd"/>
    </w:p>
    <w:p w:rsidR="00D37338" w:rsidRDefault="00D37338">
      <w:pP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br w:type="page"/>
      </w:r>
    </w:p>
    <w:p w:rsidR="00D37338" w:rsidRPr="004A7992" w:rsidRDefault="00D37338" w:rsidP="00D37338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9A1984">
        <w:rPr>
          <w:rFonts w:ascii="Times New Roman" w:hAnsi="Times New Roman" w:cs="Times New Roman"/>
          <w:color w:val="000000"/>
          <w:sz w:val="24"/>
          <w:szCs w:val="24"/>
        </w:rPr>
        <w:t>Воздвиженского</w:t>
      </w: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A7992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9A1984">
        <w:rPr>
          <w:rFonts w:ascii="Times New Roman" w:hAnsi="Times New Roman" w:cs="Times New Roman"/>
          <w:sz w:val="24"/>
          <w:szCs w:val="24"/>
        </w:rPr>
        <w:t>Воздвиженского</w:t>
      </w:r>
      <w:r w:rsidRPr="004A799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A1984" w:rsidRDefault="00D37338" w:rsidP="00D37338">
      <w:pPr>
        <w:widowControl w:val="0"/>
        <w:spacing w:after="0" w:line="240" w:lineRule="auto"/>
        <w:jc w:val="center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О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пределения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компенсационной стоимости при уничтожении (вырубке, </w:t>
      </w:r>
      <w:r w:rsidR="00A4542E"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снос</w:t>
      </w:r>
      <w:r w:rsidR="00A4542E" w:rsidRPr="004E2B23">
        <w:rPr>
          <w:rFonts w:ascii="Times New Roman;Times New Roman" w:eastAsia="Times New Roman" w:hAnsi="Times New Roman;Times New Roman" w:cs="Times New Roman" w:hint="eastAsia"/>
          <w:b/>
          <w:bCs/>
          <w:color w:val="000000"/>
          <w:sz w:val="24"/>
          <w:szCs w:val="24"/>
          <w:lang w:eastAsia="ru-RU"/>
        </w:rPr>
        <w:t>е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) и (или) повреждении зеленых насаждений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и компенсационного озеленения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9A1984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Нижегородской области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орядок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)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D37338" w:rsidRPr="004E2B23" w:rsidRDefault="009A1984" w:rsidP="009A1984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1.1.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Настоящий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Порядок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разработаны на основании Федерального закона от 10 января 2002 года № 7-ФЗ "Об охране окружающей среды", Градостроительного кодекса Российской Федерации, Правил создания, охраны и содержания зеленых насаждений в городах Российской Федерации, утвержденных приказом Госстроя России от 15 декабря 1999 года № 153, Закона Нижегородской области от 7 сентября 2007 года № 110-З "Об охране озелененных территорий Нижегородской области"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, </w:t>
      </w:r>
      <w:r w:rsidR="00D37338">
        <w:rPr>
          <w:rFonts w:ascii="Times New Roman;Times New Roman" w:hAnsi="Times New Roman;Times New Roman"/>
          <w:color w:val="000000"/>
        </w:rPr>
        <w:t>Постановления Правительства</w:t>
      </w:r>
      <w:proofErr w:type="gramEnd"/>
      <w:r w:rsidR="00D37338">
        <w:rPr>
          <w:rFonts w:ascii="Times New Roman;Times New Roman" w:hAnsi="Times New Roman;Times New Roman"/>
          <w:color w:val="000000"/>
        </w:rPr>
        <w:t xml:space="preserve"> </w:t>
      </w:r>
      <w:proofErr w:type="gramStart"/>
      <w:r w:rsidR="00D37338">
        <w:rPr>
          <w:rFonts w:ascii="Times New Roman;Times New Roman" w:hAnsi="Times New Roman;Times New Roman"/>
          <w:color w:val="000000"/>
        </w:rPr>
        <w:t xml:space="preserve">Нижегородской области </w:t>
      </w:r>
      <w:r w:rsidR="00D37338" w:rsidRPr="004E2B23">
        <w:rPr>
          <w:rFonts w:ascii="Times New Roman;Times New Roman" w:hAnsi="Times New Roman;Times New Roman"/>
          <w:bCs/>
          <w:color w:val="000000"/>
        </w:rPr>
        <w:t>от 21 июня 2016 года  № 376 «Об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(вырубке, сносе) и (или) повреждении зеленых насаждений и компенсационного озеленения»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 определя</w:t>
      </w:r>
      <w:r w:rsidR="00D37338">
        <w:rPr>
          <w:rFonts w:ascii="Times New Roman;Times New Roman" w:hAnsi="Times New Roman;Times New Roman"/>
          <w:color w:val="000000"/>
        </w:rPr>
        <w:t>е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 основные условия о</w:t>
      </w:r>
      <w:r w:rsidR="00D37338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пределения компенсационной стоимости при уничтожении (вырубке, </w:t>
      </w:r>
      <w:r w:rsidR="00A4542E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снос</w:t>
      </w:r>
      <w:r w:rsidR="00A4542E" w:rsidRPr="004E2B23">
        <w:rPr>
          <w:rFonts w:ascii="Times New Roman;Times New Roman" w:eastAsia="Times New Roman" w:hAnsi="Times New Roman;Times New Roman" w:cs="Times New Roman" w:hint="eastAsia"/>
          <w:bCs/>
          <w:color w:val="000000"/>
          <w:sz w:val="24"/>
          <w:szCs w:val="24"/>
          <w:lang w:eastAsia="ru-RU"/>
        </w:rPr>
        <w:t>е</w:t>
      </w:r>
      <w:r w:rsidR="00D37338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) и (или) повреждении зеленых насаждений  и компенсационного озеленения на</w:t>
      </w:r>
      <w:proofErr w:type="gramEnd"/>
      <w:r w:rsidR="00D37338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территории </w:t>
      </w:r>
      <w:r w:rsidR="007D1460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>Воздвиженского</w:t>
      </w:r>
      <w:r w:rsidR="00D37338" w:rsidRPr="004E2B23">
        <w:rPr>
          <w:rFonts w:ascii="Times New Roman;Times New Roman" w:eastAsia="Times New Roman" w:hAnsi="Times New Roman;Times New Roman" w:cs="Times New Roman"/>
          <w:b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 Нижегородской области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7D1460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1.2.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Настоящи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й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Порядок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r w:rsidR="00A4542E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обязателе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исполнения всеми действующими на территории 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сельсовета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организациями независимо от их форм собственности, а также должностными лицами, индивидуальными предпринимателями и гражданами. Настоящи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й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орядок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не распространяются на </w:t>
      </w:r>
      <w:r w:rsidR="00D37338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территории лесного фонда.</w:t>
      </w:r>
      <w:r w:rsidR="00D37338"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.В настоящ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ем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используются основные понятия, установленные статьей 3 Закона Нижегородской области от 7 сентября 2007 года № 110-З "Об охране озелененных территорий Нижегородской области".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Нижегородской области и настоящим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на основании разрешения, выдаваемого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после решения вопроса о форме проведения компенсационного озеленения и оплаты компенсационной стоимости уничтоженных (вырубленных, снесенных) и (или) поврежденных зеленых насаждений в случае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если компенсационное озеленение проводится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.Уничтожение (вырубка, снос) и (или) повреждение зеленых насаждений без возмещения компенсационной стоимости осуществляется при вынужденном сносе зеленых насаждений, оформленном в установленном порядке, в случае: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вырубки (сноса) зеленых насаждений в целях обеспечения нормативных требований к освещенности жилых и общественных зданий и помещений;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вырубки (сноса) зеленых насаждений для обеспечения нормативных требований по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содержанию охранных зон линейных объектов.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6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 За незаконную вырубку (выкапывание) или уничтожение зеленых насаждений в населенных пунктах виновные лица в установленном законом порядке привлекаются к административной ответственности. Выплата налагаемого в установленном законом порядке штрафа за незаконную вырубку (выкапывание) или уничтожение зеленых насаждений в населенных пунктах не освобождает виновных лиц от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Общие условия осуществления компенсационного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на территории </w:t>
      </w:r>
      <w:r w:rsidR="007D1460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Воздвиженского</w:t>
      </w: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2.1. Осуществление градостроительной и (или) иной деятельности на территории населенных пунктов 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ведется с соблюдением требований по защите зеленых насаждений и проведением мероприятий по компенсационному озеленению.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проводится физическим лицом, индивидуальным предпринимателем, должностным лицом, юридическим лицом, в чьих интересах планируются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либо по вине которых произошли вырубка (снос), пересадка, повреждение или уничтожение зеленых насаждений (далее - заинтересованное лицо) в натуральной и (или) денежной форме.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При этом приоритет отдается натуральной форме компенсационного озеленения.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Компенсационное озеленение в денежной форме осуществляется путем выплаты заинтересованным лицом компенсационной стоимости уничтоженных (вырубленных, снесенных) и (или) поврежденных зеленых насаждений (далее - компенсационная стоимость зеленых насаждений).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Компенсационное озеленение в натуральной и денежной форме осуществляется путем посадки равноценных или более ценных пород деревьев</w:t>
      </w:r>
      <w:r w:rsidR="00A4542E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взамен уничтоженных из расчета "дерево за дерево" и выплаты компенсационной стоимости зеленых насаждений, рассчитанной в соответствии с разделом 4 Методики расчета компенсационной стоимости зеленых насаждений и компенсационного озеленения, с целью учета коэффициента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неприживаемости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 при посадке, составляющего 20% (далее - денежная составляющая натурального озеленения).</w:t>
      </w:r>
      <w:proofErr w:type="gramEnd"/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посадки используются саженцы лиственных и хвойных древесных пород, по своим параметрам соответствующие ГОСТ 24909-81, ГОСТ 25769-83, ГОСТ 26869-86 (саженцы древесных пород - 3, 4 и 5 групп, кустарники - по нормативам ГОСТа "для специальных посадок").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2.5. Расчет компенсационной стоимости зеленых насаждений, денежной составляющей натурального озеленения осуществляет уполномоченный орган на основании Методики расчета компенсационной стоимости зеленых насаждений и компенсационного озеленения.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Уничтожение (вырубка, снос) и (или) повреждение зеленых насаждений производятся в соответствии с настоящими П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орядком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после получения заинтересованным лицом разрешения на вырубку (снос) зеленых насаждений, выдаваемого в порядке, установленном органами местного самоуправления, при представлении документов, подтверждающих соответственно оплату компенсационной стоимости зеленых насаждений либо денежную составляющую натурального озеленения. </w:t>
      </w:r>
      <w:proofErr w:type="gramEnd"/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7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. Особенности проведения компенсационного озеленения в натуральной форме: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7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.1. Заявитель (застройщик) представляет проект компенсационного озеленения в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администрацию 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сельсовета, где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рассматривает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проект компенсационного озеленения и на основании Методики расчета компенсационной стоимости зеленых насаждений и компенсационного озеленения рассчитывает: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компенсационную стоимость зеленых насаждений;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денежную составляющую натурального озеленения, подлежащую возмещению заявителем (застройщиком).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случае невозможности осуществления компенсационного озеленения в натуральной форме в полном объеме дополнительно производится расчет стоимости компенсационного озеленения в денежной форме.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7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.2. При вводе в эксплуатацию законченных строительством объектов, в отношении которых предусматривался проект компенсационного озеленения, в состав государственной приемочной комиссии включается представитель 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для осуществления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выполнением проекта компенсационного озеленения.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3. Порядок использования средств, поступающих за уничтожение </w:t>
      </w:r>
    </w:p>
    <w:p w:rsidR="00D37338" w:rsidRPr="00D37338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38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(вырубку, снос) зеленых насаждений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Средства, полученные от внесения компенсационной стоимости зеленых насаждений, оплаты денежной составляющей натурального озеленения, поступают в бюджет сельского поселения (местный бюджет).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При осуществлении заинтересованным лицом компенсационного озеленения в денежной форме в установленном законодательством порядке определяет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специализированн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ая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я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 целью проведения работ по высадке равноценных или более ценных пород деревьев и (или) кустарников взамен уничтоженных, разбивке и посадке растительности на газонах.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A7992" w:rsidRDefault="007D1460" w:rsidP="00D37338">
      <w:pPr>
        <w:widowControl w:val="0"/>
        <w:spacing w:after="0" w:line="240" w:lineRule="auto"/>
        <w:jc w:val="right"/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D1460">
        <w:rPr>
          <w:rFonts w:ascii="Times New Roman" w:hAnsi="Times New Roman" w:cs="Times New Roman"/>
          <w:color w:val="000000"/>
          <w:sz w:val="24"/>
          <w:szCs w:val="24"/>
        </w:rPr>
        <w:t>Воздвиженского</w:t>
      </w: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A7992">
        <w:rPr>
          <w:rFonts w:ascii="Times New Roman" w:hAnsi="Times New Roman" w:cs="Times New Roman"/>
          <w:sz w:val="24"/>
          <w:szCs w:val="24"/>
        </w:rPr>
        <w:t xml:space="preserve">о предоставление муниципальной услуги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«Выдача разрешений на вырубку деревьев и кустарников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7D1460">
        <w:rPr>
          <w:rFonts w:ascii="Times New Roman" w:hAnsi="Times New Roman" w:cs="Times New Roman"/>
          <w:sz w:val="24"/>
          <w:szCs w:val="24"/>
        </w:rPr>
        <w:t>Воздвиженского</w:t>
      </w:r>
      <w:r w:rsidRPr="004A799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7992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D37338" w:rsidRPr="004A7992" w:rsidRDefault="00D37338" w:rsidP="00D3733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992">
        <w:rPr>
          <w:rFonts w:ascii="Times New Roman" w:hAnsi="Times New Roman" w:cs="Times New Roman"/>
          <w:sz w:val="24"/>
          <w:szCs w:val="24"/>
        </w:rPr>
        <w:t>Нижегородской области»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расчета компенсационной стоимости при уничтожении (вырубке, сносе) и (или) повреждении зеленых насаждений</w:t>
      </w:r>
      <w:r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и компенсационного 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(далее - Методика)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1. Классификация и идентификация зеленых насаждений</w:t>
      </w:r>
      <w:r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для определения компенсационной стоимости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1.1.Для расчета компенсационной стоимости основных типов зелёных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деревья - растения, имеющие четко выраженный деревянистый ствол (главный (осевой) одревесневший стебель дерева), который начинается от шейки корня и заканчивается вершиной. Расчет компенсационной стоимости производится за деревья со стволом диаметром не менее 6 см на высоте 1,3 м;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кустарники - многолетние растения, ветвящиеся у самой поверхности почвы (в отличие от деревьев) и не имеющие во взрослом состоянии главного ствола;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 целях настоящей Методики также используются следующие термины и определения: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1.2. Породы различных деревьев на территории </w:t>
      </w:r>
      <w:r w:rsidR="007D1460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Воздвиженского</w:t>
      </w:r>
      <w:r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по своей ценности (декоративным свойствам) объединяются в группы.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Выделяются 4 группы, указанные в таблице: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хвойные деревья;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1-я группа лиственных деревьев (особо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ценные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2-я группа лиственных деревьев (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ценные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3-я группа лиственных деревьев (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малоценные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Таблица 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Распределение древесных пород по их ценности (декоративным свойствам) </w:t>
      </w:r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0"/>
        <w:gridCol w:w="2268"/>
        <w:gridCol w:w="2409"/>
        <w:gridCol w:w="2093"/>
      </w:tblGrid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Хвойные породы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Лиственные породы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группа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4C5DD4">
        <w:trPr>
          <w:tblCellSpacing w:w="0" w:type="dxa"/>
        </w:trPr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Ель, кедр, лиственница, пихта, сосна, туя, можжевельник, тис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Акация белая, бархат амурский, вяз, дуб, ива (белая, остролистная, русская), каштан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конский, клен (кроме клена </w:t>
            </w:r>
            <w:proofErr w:type="spell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), липа, лох, орех, ясень </w:t>
            </w:r>
            <w:proofErr w:type="gramEnd"/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Береза, боярышник (штамбовая форма), плодовые декоративные (яблони, сливы, груши, абрикос и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др.), рябина, тополь (белый, берлинский, канадский, черный, пирамидальный), черемуха </w:t>
            </w:r>
            <w:proofErr w:type="gramEnd"/>
          </w:p>
        </w:tc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 (кроме </w:t>
            </w:r>
            <w:proofErr w:type="gram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 в 1-й группе), клен </w:t>
            </w:r>
            <w:proofErr w:type="spell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, ольха, осина, тополь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(бальзамический)</w:t>
            </w:r>
          </w:p>
        </w:tc>
      </w:tr>
    </w:tbl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1.3. Деревья подсчитываются поштучно.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На практике часто случается, что деревья растут "букетом", то есть из одной корневой системы вырастают два и более ствола. Если второстепенный ствол достиг в диаметре 5 см и растёт на расстоянии более 0,5 м от основного ствола на высоте 1,3 м, то данный ствол считается отдельным деревом. Если дерево имеет несколько стволов, то в расчётах компенсационной стоимости учитывается каждый ствол отдельно.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1.4. Кустарники в группах подсчитываются поштучно.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вырубаемых кустарников в живой изгороди определяется из расчёта 5 кустарников на каждый погонный метр при двухрядной изгороди, 3 кустарника - при однорядной изгороди.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1.5. Количество зарослей самосевных деревьев и кустарников (деревья и (или) кустарники самосевного и порослевого происхождения, образующие единый сомкнутый полог) определяется из расчёта 20 деревьев на каждые 100 кв. м.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1.6. Самосевные деревья, относящиеся к 3-й группе лиственных деревьев (малоценных) и не достигшие в диаметре ствола 5 см, при расчете компенсационной стоимости не учитываются.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1.7. 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2. Расчет компенсационной стоимости при уничтожении (вырубке, сносе) и (или) повреждении зеленых насаждений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2.1. Компенсационная стоимость зеленых насаждений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=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зеленых насаждений,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i-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вида зеленых насаждений (деревья, кустарники, газон, естественный травяной покров), руб. </w:t>
      </w:r>
    </w:p>
    <w:p w:rsidR="00D37338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2.2. Компенсационная стоимость отдельных видов зеленых насаждений (деревья, кустарники, газон, естественный травяной покров)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Сксi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 = (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x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) х N , 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Скс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i-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вида зеленых насаждений (деревья, кустарники, газон, естественный травяной покров),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базовые цены основных видов деревьев, кустарников, травянистой растительности, цветников (в расчете на 1 дерево, 1 кустарник, 1 погонный метр живой изгороди, 1 кв. метр травяного покрова, 1 кв. метр цветников),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</w:t>
      </w:r>
      <w:proofErr w:type="spellEnd"/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водоохранную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ценность зеленых насаждений (коэффициент поправки на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водоохранную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зону);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качественное состояние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N - количество зеленых насаждений i-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вида, подлежащих уничтожению, шт., кв. м.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 Значения поправочных коэффициентов: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2.3.1. </w:t>
      </w:r>
      <w:proofErr w:type="spellStart"/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Кз</w:t>
      </w:r>
      <w:proofErr w:type="spellEnd"/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социально-экологическую значимость зеленых насаждений учитывает социальную, историко-культурную и природоохранную значимость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3,5 - для особо охраняемых природных территорий регионального и местного значения;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3,0 - для исторических территорий;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рекреационных зон (кроме особо охраняемых природных территорий регионального и местного значения);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2,0 - для жилых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1,8 - для общественно-деловых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1,5 - для производственных зон;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зон инженерной и транспортной инфраструктуры.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2.3.2.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водоохранную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зону учитывает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водоохранные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функции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2,5 - для зеленых насаждений, расположенных в прибрежной зоне открытого водотока (водоема);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1,8 - для зеленых насаждений, расположенных в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водоохранной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зоне открытого водотока (водоема);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остальных территорий.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2.3.3.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1,0 - для зеленых насаждений в хорошем и удовлетворительном состоянии;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0,5 - для зеленых насаждений в неудовлетворительном состоянии.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В случае невозможности определения фактического состояния уничтоженных зеленых насаждений принимается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1.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2.3.4.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1-ой группы лиственных деревьев (особо ценные) и принимается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Ксост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1.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2.3.5.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2.3.6. При незаконном уничтожении (вырубке, сносе) и (или) повреждении зеленых насаждений применяется повышающий коэффициент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10.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2.3.7. При расчете компенсационной стоимости применяется понижающий коэффициент 0,00001 при реализации объектов, включенных в адресные инвестиционные программы Нижегородской области, в государственные программы, финансируемые за счет средств бюджетов.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>3. Нормативы исчисления компенсационной стоимости зеленых насаждений</w:t>
      </w:r>
    </w:p>
    <w:p w:rsidR="00D37338" w:rsidRPr="004A7992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992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 и объектов озеленения на территории Нижегородской области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3.1. За нормативы исчисления компенсационной стоимости зеленых насаждений и объектов озеленения на территории Нижегородской области принимаются базовые цены зеленых насаждений.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3.2. Базовая цена дерева определяется в зависимости от породы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Спд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j</w:t>
      </w:r>
      <w:proofErr w:type="spellEnd"/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Суд х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Квпд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Сбцд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одного дерева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Спд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посадки одного дерева с учетом стоимости посадочного материала (дерева)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Суд - сметная стоимость годового ухода за одним деревом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j - группа древесных пород по их ценности (определяется согласно приложению к 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Квпд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количество лет восстановительного периода, учитываемого при расчете затрат на восстановление деревьев на текущий период.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3.3. Базовая цена одного кустарника, 1 погонного метра живой изгороди определяется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Спк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Сук х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Квпк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Сбцк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одного кустарника, 1 погонного метра живой изгороди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Спк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посадки одного кустарника, 1 погонного метра живой изгороди с учетом стоимости посадочного материала (кустарника)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Сук - сметная стоимость годового ухода за одним кустарником, 1 погонного метра живой изгороди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Квпк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количество лет восстановительного периода, учитываемого при расчете затрат на восстановление одного кустарника, 1 погонного метра живой изгороди на текущий период.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хвойных деревьев - 10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1-й группы - 7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2-й группы - 5 лет;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лиственных деревьев 3-й группы - 3 года;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кустарников - 1 год;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для газонов - 1 год.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3.4. Базовая цена травяного покрова определяется по следующей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1 квадратного метра травяного покрова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устройства 1 квадратного метра газона с учетом стоимости посадочного материала на текущий период, руб. (определяется согласно приложению к настоящей Методике);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годового ухода за 1 квадратным метром газона на текущий период, руб. (определяется согласно приложению к настоящей Методике).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3.5. Базовая цена цветника определяется по следующей формуле: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, где: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Сбцц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базовая цена 1 квадратного метра цветника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Спц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устройства 1 квадратного метра цветника с учетом стоимости посадочного материала на текущий период,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Суц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сметная стоимость годового ухода за 1 квадратным метром цветника на текущий период, руб.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3.6. Сметная стоимость посадки (устройства) одной единицы зеленых насаждений определена на основании территориальных единичных расценок (сборник ТЕР № 47) с применением индекса изменения сметной стоимости, утвержденного департаментом градостроительного развития территории Нижегородской области, по состоянию на 2 квартал 2016 года, с учетом НДС.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Переход к текущему уровню цен осуществляется с использованием индекса потребительских цен на соответствующий период в соответствии с прогнозом социально-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экономического развития Нижегородской области.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Стоимость одной посадочной единицы зеленых насаждений в текущем уровне цен с учетом НДС определяется уполномоченным органом путем мониторинга на основании ценовых предложений от не менее 3-х поставщиков.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7D1460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60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4. Порядок расчета денежной составляющей натурального озеленения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4.1. Денежная составляющая натурального озеленения рассчитывается при проведении компенсационного озеленения в натуральной форме для учета коэффициента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неприживаемости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 при посадке, составляющего 20%.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4.2. Денежная составляющая натурального озеленения рассчитывается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х 0,2,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Сдс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денежная составляющая натурального озеленения,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зеленых насаждений,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0,2 - коэффициент, учитывающий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неприживаемость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 при посадке.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4.3. Для расчета денежной составляющей натурального озеленения принимается только то количество зеленых насаждений, которое компенсировано в результате проведения озеленения в натуральной форме.</w:t>
      </w:r>
    </w:p>
    <w:p w:rsidR="00D37338" w:rsidRPr="007D1460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7D1460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60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5. Порядок определения стоимости компенсационного </w:t>
      </w:r>
    </w:p>
    <w:p w:rsidR="00D37338" w:rsidRPr="007D1460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460">
        <w:rPr>
          <w:rFonts w:ascii="Times New Roman;Times New Roman" w:eastAsia="Times New Roman" w:hAnsi="Times New Roman;Times New Roman" w:cs="Times New Roman"/>
          <w:b/>
          <w:color w:val="000000"/>
          <w:sz w:val="24"/>
          <w:szCs w:val="24"/>
          <w:lang w:eastAsia="ru-RU"/>
        </w:rPr>
        <w:t xml:space="preserve">озеленения при осуществлении его в денежной форме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5.1. Стоимость компенсационного озеленения рассчитывается по формуле: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х 1,2 х 1,1, где: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стоимость компенсационного озеленения, руб.;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кс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- компенсационная стоимость зеленых насаждений, руб., 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1,2 - коэффициент, учитывающий </w:t>
      </w:r>
      <w:proofErr w:type="spell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неприживаемость</w:t>
      </w:r>
      <w:proofErr w:type="spell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насаждений;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1,1 </w:t>
      </w: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коэффициент, учитывающий затраты на проектирование.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5.2. Размер стоимости компенсационного озеленения, подлежащего внесению лицом, в чьих интересах или по вине которого произошли вырубка (снос), пересадка, повреждение или уничтожение зеленых насаждений,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D37338" w:rsidRPr="004E2B23" w:rsidRDefault="00D37338" w:rsidP="00D3733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Default="00D37338" w:rsidP="00D373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 Методике расчета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компенсационной стоимости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уничтожении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(вырубке, сносе) и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(или)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повреждении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зеленых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насаждений и </w:t>
      </w:r>
      <w:proofErr w:type="gramStart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компенсационного</w:t>
      </w:r>
      <w:proofErr w:type="gramEnd"/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озеленения</w:t>
      </w:r>
    </w:p>
    <w:p w:rsidR="00D37338" w:rsidRPr="004E2B23" w:rsidRDefault="00D37338" w:rsidP="00D373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Показатели, используемые для расчета</w:t>
      </w:r>
      <w:r w:rsidRPr="004E2B23">
        <w:rPr>
          <w:rFonts w:ascii="Times New Roman;Times New Roman" w:eastAsia="Times New Roman" w:hAnsi="Times New Roman;Times New Roman" w:cs="Times New Roman"/>
          <w:color w:val="000000"/>
          <w:sz w:val="24"/>
          <w:szCs w:val="24"/>
          <w:lang w:eastAsia="ru-RU"/>
        </w:rPr>
        <w:t> 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3">
        <w:rPr>
          <w:rFonts w:ascii="Times New Roman;Times New Roman" w:eastAsia="Times New Roman" w:hAnsi="Times New Roman;Times New Roman" w:cs="Times New Roman"/>
          <w:b/>
          <w:bCs/>
          <w:color w:val="000000"/>
          <w:sz w:val="24"/>
          <w:szCs w:val="24"/>
          <w:lang w:eastAsia="ru-RU"/>
        </w:rPr>
        <w:t>компенсационной стоимости зеленых насаждений</w:t>
      </w:r>
    </w:p>
    <w:p w:rsidR="00D37338" w:rsidRPr="004E2B23" w:rsidRDefault="00D37338" w:rsidP="00D37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883"/>
        <w:gridCol w:w="1880"/>
        <w:gridCol w:w="1372"/>
        <w:gridCol w:w="1570"/>
        <w:gridCol w:w="1570"/>
        <w:gridCol w:w="1318"/>
      </w:tblGrid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Классификация зеленых насаждений</w:t>
            </w:r>
          </w:p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(ЗН)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Вид (тип) зеленых насаждений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работ по созданию ЗН (руб.) в ценах 2 квартала 2016 года с НДС (руб.)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Стоимость посадочного материала в ценах 2 квартала 2016 года с НДС (руб.)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посадки с учетом стоимости посадочного материала (руб.)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Сметная стоимость годового ухода в ценах 2 квартала 2016 года с НДС (руб.)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хвойные 1 ед.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ель колючая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3 462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туя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2 022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сосна обыкновенная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1 967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 группа 1 ед.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каштан конский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3 000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4 462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вяз обыкновенный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1 500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2 962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липа обыкновенная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2 462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клен остролистый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ясень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3 262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- орех (лещина)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1 822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 группа 1 ед.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привитая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1 962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рябина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2 612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штамбовый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береза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865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2 327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черемуха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2 042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тополь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840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2 302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Деревья лиственные  III группа  1 ед.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ива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1 462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1 682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2 761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Кустарники 1 </w:t>
            </w: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хвойные 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770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лиственные 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яблоня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824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боярышник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барбарис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- акация желтая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499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1 150 </w:t>
            </w:r>
          </w:p>
        </w:tc>
      </w:tr>
      <w:tr w:rsidR="00D37338" w:rsidRPr="004E2B23" w:rsidTr="007D1460">
        <w:trPr>
          <w:tblCellSpacing w:w="0" w:type="dxa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Газон, естественный травяной покров, цветник, 1 </w:t>
            </w:r>
            <w:proofErr w:type="spell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Газон обыкновенный, цветник 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338" w:rsidRPr="004E2B23" w:rsidRDefault="00D37338" w:rsidP="004C5D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B23">
              <w:rPr>
                <w:rFonts w:ascii="Times New Roman;Times New Roman" w:eastAsia="Times New Roman" w:hAnsi="Times New Roman;Times New Roman" w:cs="Times New Roman"/>
                <w:color w:val="000000"/>
                <w:sz w:val="24"/>
                <w:szCs w:val="24"/>
                <w:lang w:eastAsia="ru-RU"/>
              </w:rPr>
              <w:t xml:space="preserve">1 229 </w:t>
            </w:r>
          </w:p>
        </w:tc>
      </w:tr>
    </w:tbl>
    <w:p w:rsidR="00D37338" w:rsidRDefault="00D37338" w:rsidP="00D37338">
      <w:pPr>
        <w:pStyle w:val="1"/>
        <w:shd w:val="clear" w:color="auto" w:fill="FFFFFF"/>
        <w:tabs>
          <w:tab w:val="left" w:pos="7513"/>
        </w:tabs>
        <w:autoSpaceDE w:val="0"/>
        <w:ind w:left="0"/>
        <w:jc w:val="both"/>
      </w:pPr>
    </w:p>
    <w:sectPr w:rsidR="00D3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9" w:rsidRDefault="005A3AC9" w:rsidP="00B35498">
      <w:pPr>
        <w:spacing w:after="0" w:line="240" w:lineRule="auto"/>
      </w:pPr>
      <w:r>
        <w:separator/>
      </w:r>
    </w:p>
  </w:endnote>
  <w:endnote w:type="continuationSeparator" w:id="0">
    <w:p w:rsidR="005A3AC9" w:rsidRDefault="005A3AC9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9" w:rsidRDefault="005A3AC9" w:rsidP="00B35498">
      <w:pPr>
        <w:spacing w:after="0" w:line="240" w:lineRule="auto"/>
      </w:pPr>
      <w:r>
        <w:separator/>
      </w:r>
    </w:p>
  </w:footnote>
  <w:footnote w:type="continuationSeparator" w:id="0">
    <w:p w:rsidR="005A3AC9" w:rsidRDefault="005A3AC9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00E9E"/>
    <w:rsid w:val="00021648"/>
    <w:rsid w:val="000B435E"/>
    <w:rsid w:val="000C36E7"/>
    <w:rsid w:val="001E47AB"/>
    <w:rsid w:val="00211E27"/>
    <w:rsid w:val="002732EF"/>
    <w:rsid w:val="002B1F84"/>
    <w:rsid w:val="0030400E"/>
    <w:rsid w:val="00330C79"/>
    <w:rsid w:val="00373CAA"/>
    <w:rsid w:val="003D0DAC"/>
    <w:rsid w:val="0046390D"/>
    <w:rsid w:val="00471F0E"/>
    <w:rsid w:val="00486B3C"/>
    <w:rsid w:val="004C2E77"/>
    <w:rsid w:val="005435CE"/>
    <w:rsid w:val="00587575"/>
    <w:rsid w:val="005A3AC9"/>
    <w:rsid w:val="007904CF"/>
    <w:rsid w:val="007D1460"/>
    <w:rsid w:val="008D75B7"/>
    <w:rsid w:val="008F382C"/>
    <w:rsid w:val="00920EA3"/>
    <w:rsid w:val="00951430"/>
    <w:rsid w:val="009A1984"/>
    <w:rsid w:val="00A336C9"/>
    <w:rsid w:val="00A4542E"/>
    <w:rsid w:val="00A915D1"/>
    <w:rsid w:val="00AD5CBD"/>
    <w:rsid w:val="00B35498"/>
    <w:rsid w:val="00BC07BC"/>
    <w:rsid w:val="00BD2077"/>
    <w:rsid w:val="00BF1A40"/>
    <w:rsid w:val="00C06270"/>
    <w:rsid w:val="00C81F82"/>
    <w:rsid w:val="00CB513E"/>
    <w:rsid w:val="00D37338"/>
    <w:rsid w:val="00E31D1A"/>
    <w:rsid w:val="00E72BC3"/>
    <w:rsid w:val="00E76BE3"/>
    <w:rsid w:val="00EA171F"/>
    <w:rsid w:val="00F56D6D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  <w:style w:type="paragraph" w:customStyle="1" w:styleId="7">
    <w:name w:val="Знак Знак7"/>
    <w:basedOn w:val="a"/>
    <w:rsid w:val="00211E2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582B-3BF3-4B87-A5E0-ED7CB8D9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21</cp:revision>
  <cp:lastPrinted>2022-04-07T11:18:00Z</cp:lastPrinted>
  <dcterms:created xsi:type="dcterms:W3CDTF">2021-01-19T12:39:00Z</dcterms:created>
  <dcterms:modified xsi:type="dcterms:W3CDTF">2022-04-07T11:18:00Z</dcterms:modified>
</cp:coreProperties>
</file>