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5" w:rsidRPr="00642F45" w:rsidRDefault="00C17175" w:rsidP="00642F45">
      <w:pPr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</w:rPr>
      </w:pPr>
      <w:r w:rsidRPr="00642F45">
        <w:rPr>
          <w:noProof/>
          <w:sz w:val="24"/>
          <w:szCs w:val="24"/>
        </w:rPr>
        <w:drawing>
          <wp:inline distT="0" distB="0" distL="0" distR="0" wp14:anchorId="543566CA" wp14:editId="1FB53C0F">
            <wp:extent cx="558165" cy="700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38" w:rsidRPr="00642F45" w:rsidRDefault="00FA3C85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B4438" w:rsidRPr="00642F45">
        <w:rPr>
          <w:rFonts w:ascii="Times New Roman" w:eastAsia="Times New Roman" w:hAnsi="Times New Roman" w:cs="Times New Roman"/>
          <w:b/>
          <w:sz w:val="24"/>
          <w:szCs w:val="24"/>
        </w:rPr>
        <w:t>ЕЛЬСКИЙ СОВЕТ</w:t>
      </w: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НАХРАТОВСКОГО СЕЛЬСОВЕТА</w:t>
      </w:r>
    </w:p>
    <w:p w:rsidR="00DB4438" w:rsidRPr="00642F45" w:rsidRDefault="00DB4438" w:rsidP="00642F45">
      <w:pPr>
        <w:tabs>
          <w:tab w:val="left" w:pos="564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НИЖЕГОРОДСКОЙ ОБЛАСТИ</w:t>
      </w:r>
    </w:p>
    <w:p w:rsidR="00DB4438" w:rsidRPr="00642F45" w:rsidRDefault="00DB4438" w:rsidP="00642F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="004C10BA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103E77" w:rsidRPr="00642F45" w:rsidRDefault="00FA3C85" w:rsidP="00642F45">
      <w:pPr>
        <w:tabs>
          <w:tab w:val="left" w:pos="708"/>
          <w:tab w:val="left" w:pos="1416"/>
          <w:tab w:val="left" w:pos="2124"/>
          <w:tab w:val="left" w:pos="2832"/>
          <w:tab w:val="left" w:pos="862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 июля</w:t>
      </w:r>
      <w:r w:rsidR="00246A34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11EB4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03E77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F745BC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="00103E77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1576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1576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511EB4" w:rsidRPr="00642F45" w:rsidRDefault="00511EB4" w:rsidP="00642F45">
      <w:pPr>
        <w:spacing w:line="240" w:lineRule="auto"/>
        <w:ind w:left="-567" w:firstLine="567"/>
        <w:jc w:val="center"/>
        <w:rPr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Нахратовского сельсовета Воскресенского  муниципального района Нижегородской области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Нахратовского сельсовета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в соответствие с действующим законодательством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Сельский Совет </w:t>
      </w:r>
      <w:r w:rsidRPr="00642F45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решил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1.Принять изменения и дополнения в Устав Нахратовского сельсовета Воскресенского муниципального района Нижегородской области согласно приложению.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2.Направить прилагаемые изменения и дополнения в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11EB4" w:rsidRPr="00642F45" w:rsidRDefault="00511EB4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8B7C0B" w:rsidRPr="00642F45" w:rsidRDefault="00511EB4" w:rsidP="00642F45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4.Настоящее решение вступает</w:t>
      </w:r>
      <w:r w:rsidR="008B7C0B" w:rsidRPr="006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658" w:rsidRPr="00642F45">
        <w:rPr>
          <w:rFonts w:ascii="Times New Roman" w:eastAsia="Times New Roman" w:hAnsi="Times New Roman" w:cs="Times New Roman"/>
          <w:sz w:val="24"/>
          <w:szCs w:val="24"/>
        </w:rPr>
        <w:t>в силу после его обнародования,</w:t>
      </w:r>
      <w:r w:rsidR="008B7C0B" w:rsidRPr="00642F4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 </w:t>
      </w:r>
      <w:r w:rsidR="004559EE" w:rsidRPr="00642F45">
        <w:rPr>
          <w:rFonts w:ascii="Times New Roman" w:eastAsia="Times New Roman" w:hAnsi="Times New Roman" w:cs="Times New Roman"/>
          <w:sz w:val="24"/>
          <w:szCs w:val="24"/>
        </w:rPr>
        <w:t>пунктов 13, 14 части 2 статьи 41</w:t>
      </w:r>
      <w:r w:rsidR="008B7C0B" w:rsidRPr="00642F45">
        <w:rPr>
          <w:rFonts w:ascii="Times New Roman" w:eastAsia="Times New Roman" w:hAnsi="Times New Roman" w:cs="Times New Roman"/>
          <w:sz w:val="24"/>
          <w:szCs w:val="24"/>
        </w:rPr>
        <w:t>.1 Устава вступающих в силу с 28 июня 2018 года.</w:t>
      </w:r>
    </w:p>
    <w:p w:rsidR="00511EB4" w:rsidRPr="00642F45" w:rsidRDefault="00511EB4" w:rsidP="00642F45">
      <w:pPr>
        <w:ind w:left="-567" w:firstLine="567"/>
        <w:jc w:val="both"/>
        <w:rPr>
          <w:sz w:val="24"/>
          <w:szCs w:val="24"/>
        </w:rPr>
      </w:pPr>
    </w:p>
    <w:p w:rsidR="00511EB4" w:rsidRPr="00642F45" w:rsidRDefault="00511EB4" w:rsidP="00642F4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</w:t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</w:r>
      <w:r w:rsidRPr="00642F45">
        <w:rPr>
          <w:rFonts w:ascii="Times New Roman" w:hAnsi="Times New Roman" w:cs="Times New Roman"/>
          <w:sz w:val="24"/>
          <w:szCs w:val="24"/>
        </w:rPr>
        <w:tab/>
        <w:t>Н. Л. Медведева</w:t>
      </w:r>
    </w:p>
    <w:p w:rsidR="00581824" w:rsidRPr="00642F45" w:rsidRDefault="00581824" w:rsidP="00642F45">
      <w:pPr>
        <w:ind w:left="-567" w:firstLine="567"/>
        <w:jc w:val="both"/>
        <w:rPr>
          <w:sz w:val="24"/>
          <w:szCs w:val="24"/>
        </w:rPr>
      </w:pPr>
      <w:r w:rsidRPr="00642F45">
        <w:rPr>
          <w:sz w:val="24"/>
          <w:szCs w:val="24"/>
        </w:rPr>
        <w:br w:type="page"/>
      </w:r>
    </w:p>
    <w:p w:rsidR="002C4C3A" w:rsidRPr="00642F45" w:rsidRDefault="004747B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747B4" w:rsidRPr="00642F45" w:rsidRDefault="004747B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</w:t>
      </w:r>
    </w:p>
    <w:p w:rsidR="004747B4" w:rsidRPr="00642F45" w:rsidRDefault="003D2C31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Нахратовского </w:t>
      </w:r>
      <w:r w:rsidR="004747B4" w:rsidRPr="00642F4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46A34" w:rsidRPr="00642F45" w:rsidRDefault="00246A3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246A34" w:rsidRPr="00642F45" w:rsidRDefault="00246A34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4747B4" w:rsidRPr="00642F45" w:rsidRDefault="00F50A71" w:rsidP="00642F45">
      <w:pPr>
        <w:spacing w:after="0" w:line="264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2C31" w:rsidRPr="00642F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3C85">
        <w:rPr>
          <w:rFonts w:ascii="Times New Roman" w:eastAsia="Times New Roman" w:hAnsi="Times New Roman" w:cs="Times New Roman"/>
          <w:sz w:val="24"/>
          <w:szCs w:val="24"/>
        </w:rPr>
        <w:t xml:space="preserve"> 23.07.2018</w:t>
      </w:r>
      <w:r w:rsidR="004747B4" w:rsidRPr="00642F4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A3C85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747B4" w:rsidRPr="00642F45" w:rsidRDefault="004747B4" w:rsidP="00642F45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F75" w:rsidRPr="00642F45" w:rsidRDefault="00D96F75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</w:t>
      </w:r>
      <w:r w:rsidR="008B7C0B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  <w:r w:rsidR="008B7C0B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1 статьи 4 «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Вопросы местного значения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сельсовета»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изложить в следующей редакции:</w:t>
      </w:r>
    </w:p>
    <w:p w:rsidR="00D96F75" w:rsidRPr="00642F45" w:rsidRDefault="00D96F75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«17)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правил благоустройства территории сельсовета, осуществление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сельсовета в соответствии с указанными правилами,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 w:rsidR="00986115"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х населенных пунктов сельсовета;</w:t>
      </w:r>
    </w:p>
    <w:p w:rsidR="00D96F75" w:rsidRPr="00642F45" w:rsidRDefault="00D96F75" w:rsidP="00642F45">
      <w:pPr>
        <w:tabs>
          <w:tab w:val="left" w:pos="-142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2. В статье 4.1 «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органов местного самоуправления сельсовета на решение вопросов, не отнесенных к вопросам местного значения поселений»:</w:t>
      </w:r>
    </w:p>
    <w:p w:rsidR="00D96F75" w:rsidRPr="00642F45" w:rsidRDefault="00D96F75" w:rsidP="00642F45">
      <w:pPr>
        <w:widowControl w:val="0"/>
        <w:shd w:val="clear" w:color="auto" w:fill="FFFFFF"/>
        <w:tabs>
          <w:tab w:val="left" w:pos="-567"/>
          <w:tab w:val="left" w:leader="dot" w:pos="2741"/>
        </w:tabs>
        <w:snapToGri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12 части 1 исключить;</w:t>
      </w:r>
    </w:p>
    <w:p w:rsidR="00D96F75" w:rsidRPr="00642F45" w:rsidRDefault="00D96F75" w:rsidP="00642F45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 статьи 4.1 дополнить пунктом 16 в следующей редакции: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proofErr w:type="gramEnd"/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11 статьи 6 «Формы непосредственного осуществления населением сельсовета местного самоуправления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«</w:t>
      </w:r>
      <w:r w:rsidRPr="00642F45">
        <w:rPr>
          <w:rFonts w:ascii="Times New Roman" w:eastAsia="Times New Roman" w:hAnsi="Times New Roman" w:cs="Times New Roman"/>
          <w:sz w:val="24"/>
          <w:szCs w:val="24"/>
          <w:lang w:eastAsia="zh-TW"/>
        </w:rPr>
        <w:t>11) публичные слушания, общественные обсуждения;»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4. Статью 14.1 «Сход граждан» изложить в следующей редакции</w:t>
      </w: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«1. В случаях, предусмотренных Федеральным законом от 06.10.2003 года №131 «Об общих принципах организации местного самоуправления в Российской Федерации», сход граждан может проводиться: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1) в населенном пункте по вопросу изменения границ сельсовета в состав, которого входит указанный населенный пункт, влекущего отнесение территории указанного населенного пункта к территории другого сельсовета;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</w:t>
      </w:r>
      <w:r w:rsidR="008B7C0B"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ории данного населенного пункта;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сельском населенном пункте сход граждан также может проводиться </w:t>
      </w:r>
      <w:proofErr w:type="gramStart"/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, предусмотренных законодательством Российской Федерации о муниципальной службе.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2. Сход граждан,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</w:t>
      </w:r>
      <w:r w:rsidR="008B7C0B"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овины участников схода граждан.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642F45">
        <w:rPr>
          <w:rFonts w:ascii="Times New Roman" w:eastAsia="Calibri" w:hAnsi="Times New Roman" w:cs="Times New Roman"/>
          <w:sz w:val="24"/>
          <w:szCs w:val="24"/>
        </w:rPr>
        <w:t>Проведение схода граждан обеспечивается главой сельсовета</w:t>
      </w:r>
      <w:proofErr w:type="gramStart"/>
      <w:r w:rsidRPr="00642F4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B7C0B" w:rsidRPr="00642F45" w:rsidRDefault="00EE5FE1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="008B7C0B" w:rsidRPr="00642F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Дополнить статьей 14.2 «</w:t>
      </w:r>
      <w:r w:rsidR="008B7C0B" w:rsidRPr="00642F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Староста сельского населенного пункта» следующего содержания: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«Статья 14.2. Староста сельского населенного пункта»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2. Староста сельского населенного пункта назначается сельским Советом,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Старостой сельского населенного пункта не может быть назначено лицо: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</w:t>
      </w: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замещающее</w:t>
      </w:r>
      <w:proofErr w:type="gramEnd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</w:t>
      </w: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признанное</w:t>
      </w:r>
      <w:proofErr w:type="gramEnd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</w:t>
      </w: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имеющее</w:t>
      </w:r>
      <w:proofErr w:type="gramEnd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непогашенную или неснятую судимость.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Срок полномочий старосты сельского населенного пункта составляет 5 лет.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Полномочия старосты сельского населенного пункта прекращаются досрочно по решению сельского Совета в состав,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0" w:history="1">
        <w:r w:rsidRPr="00642F45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пунктами 1</w:t>
        </w:r>
      </w:hyperlink>
      <w:r w:rsidRPr="00642F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- </w:t>
      </w:r>
      <w:hyperlink r:id="rId11" w:history="1">
        <w:r w:rsidRPr="00642F45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7 части 10 статьи 40</w:t>
        </w:r>
      </w:hyperlink>
      <w:r w:rsidRPr="00642F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Федерального закона от 06.10.2003 N 131-ФЗ  «Об общих принци</w:t>
      </w: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пах организации местного самоуправления в Российской Федерации».</w:t>
      </w:r>
      <w:proofErr w:type="gramEnd"/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Староста сельского населенного пункта для решения возложенных на него задач: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осуществляет иные полномочия и права, предусмотренные уставом сельсовета и (или) нормативным правовым актом сельского Совета в соответствии с законом Нижегородской области.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2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 Гарантии деятельности и иные вопросы статуса старосты сельского населенного пункта могут устанавливаться уставом Нахратовского сельсовета и (или) нормативным правовым актом сельского Совета в соответствии с законом Нижегородской области. </w:t>
      </w:r>
    </w:p>
    <w:p w:rsidR="00D96F75" w:rsidRPr="00642F45" w:rsidRDefault="00EE5FE1" w:rsidP="00642F45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6</w:t>
      </w:r>
      <w:r w:rsidR="00D96F75" w:rsidRPr="00642F4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. </w:t>
      </w:r>
      <w:r w:rsidR="00D96F75"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В статье 15: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а) наименование изложить в следующей редакции: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«Статья 15. Публичные слушания, общественные обсуждения»;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 1 части 3</w:t>
      </w: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статьи 15 изложить в следующей редакции:</w:t>
      </w:r>
    </w:p>
    <w:p w:rsidR="00D96F75" w:rsidRPr="00642F45" w:rsidRDefault="00D96F75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  <w:bdr w:val="single" w:sz="12" w:space="0" w:color="FFFFFF" w:frame="1"/>
        </w:rPr>
        <w:t>«1)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проект устава сельсовета, а также проект муниципального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</w:t>
      </w:r>
      <w:hyperlink r:id="rId12" w:history="1">
        <w:r w:rsidRPr="00642F45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актами».</w:t>
      </w:r>
      <w:proofErr w:type="gramEnd"/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в) Пункт 3 части 3 статьи 15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исключить.</w:t>
      </w:r>
    </w:p>
    <w:p w:rsidR="008B7C0B" w:rsidRPr="00642F45" w:rsidRDefault="008B7C0B" w:rsidP="00642F45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г) Дополнить часть 3 статьи 15 пунктом 3.1. в следующей редакции:</w:t>
      </w:r>
    </w:p>
    <w:p w:rsidR="008B7C0B" w:rsidRPr="00642F45" w:rsidRDefault="008B7C0B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«3.1)</w:t>
      </w:r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проект стратегии социально-экономического развития сельсовета</w:t>
      </w:r>
      <w:proofErr w:type="gramStart"/>
      <w:r w:rsidRPr="00642F45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</w:p>
    <w:p w:rsidR="00D96F75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D96F75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) Часть 4 статьи 15 изложить в следующей редакции: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4.Порядок организации и проведения публичных слушаний по проектам и вопросам, указанным в </w:t>
      </w:r>
      <w:hyperlink r:id="rId13" w:history="1">
        <w:r w:rsidRPr="00642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3</w:t>
        </w:r>
      </w:hyperlink>
      <w:r w:rsidRPr="00642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>стоящей статьи, определяется нормативными правовыми актами сельсовета и должен предусматривать заблаговременное оповещение жителей сельсовета,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обнародование результатов публичных слушаний, включая мотивированное обоснование принятых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D96F75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96F75" w:rsidRPr="00642F45">
        <w:rPr>
          <w:rFonts w:ascii="Times New Roman" w:eastAsia="Times New Roman" w:hAnsi="Times New Roman" w:cs="Times New Roman"/>
          <w:b/>
          <w:sz w:val="24"/>
          <w:szCs w:val="24"/>
        </w:rPr>
        <w:t>) дополнить частью 5 следующего содержания:</w:t>
      </w:r>
    </w:p>
    <w:p w:rsidR="00D96F75" w:rsidRPr="00642F45" w:rsidRDefault="00D96F75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«5.По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сельсовета с учетом положений законодательства о градостроительной деятельности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B7C0B" w:rsidRPr="00642F45" w:rsidRDefault="00EE5FE1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7C0B" w:rsidRPr="00642F45">
        <w:rPr>
          <w:rFonts w:ascii="Times New Roman" w:eastAsia="Times New Roman" w:hAnsi="Times New Roman" w:cs="Times New Roman"/>
          <w:b/>
          <w:sz w:val="24"/>
          <w:szCs w:val="24"/>
        </w:rPr>
        <w:t>. Статью 23 «Полномочия сельского Совета» дополнить пунктами 24, 25 следующего содержания:</w:t>
      </w:r>
    </w:p>
    <w:p w:rsidR="008B7C0B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«24) утверждение стратегии социально-экономического развития сельсовета.</w:t>
      </w:r>
    </w:p>
    <w:p w:rsidR="008B7C0B" w:rsidRPr="00642F45" w:rsidRDefault="008B7C0B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25) утверждает правила благоустройства территории сельсовета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EE5FE1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8</w:t>
      </w:r>
      <w:r w:rsidR="00246A34"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. Статью 28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«Гарантии осуществления полномочий депутата сельского Совета» дополнить пунктом 5 следующего содержания: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hAnsi="Times New Roman" w:cs="Times New Roman"/>
          <w:sz w:val="24"/>
          <w:szCs w:val="24"/>
        </w:rPr>
        <w:t>«</w:t>
      </w:r>
      <w:r w:rsidR="00D96EED" w:rsidRPr="00642F45">
        <w:rPr>
          <w:rFonts w:ascii="Times New Roman" w:hAnsi="Times New Roman" w:cs="Times New Roman"/>
          <w:sz w:val="24"/>
          <w:szCs w:val="24"/>
        </w:rPr>
        <w:t>5</w:t>
      </w:r>
      <w:r w:rsidRPr="00642F45">
        <w:rPr>
          <w:rFonts w:ascii="Times New Roman" w:hAnsi="Times New Roman" w:cs="Times New Roman"/>
          <w:sz w:val="24"/>
          <w:szCs w:val="24"/>
        </w:rPr>
        <w:t xml:space="preserve">.Встречи депутата с избирателями проводятся в помещениях, специально отведенных местах, а также на </w:t>
      </w:r>
      <w:proofErr w:type="spellStart"/>
      <w:r w:rsidRPr="00642F4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642F45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42F45">
        <w:rPr>
          <w:rFonts w:ascii="Times New Roman" w:hAnsi="Times New Roman" w:cs="Times New Roman"/>
          <w:sz w:val="24"/>
          <w:szCs w:val="24"/>
        </w:rPr>
        <w:t xml:space="preserve">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4" w:history="1">
        <w:r w:rsidRPr="00642F45">
          <w:rPr>
            <w:rFonts w:ascii="Times New Roman" w:hAnsi="Times New Roman" w:cs="Times New Roman"/>
            <w:sz w:val="24"/>
            <w:szCs w:val="24"/>
          </w:rPr>
          <w:t>административную ответственность</w:t>
        </w:r>
      </w:hyperlink>
      <w:r w:rsidRPr="00642F4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EE5FE1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>.Дополнить статью</w:t>
      </w:r>
      <w:r w:rsidR="00E77542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«Досрочное прекращение полномочий главы местного самоуправления» частью 4 следующего содержания: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lastRenderedPageBreak/>
        <w:t>«4.В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745BC" w:rsidRPr="00642F45" w:rsidRDefault="00EE5FE1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10</w:t>
      </w:r>
      <w:r w:rsidR="00246A34" w:rsidRPr="00642F45">
        <w:rPr>
          <w:rFonts w:ascii="Times New Roman" w:hAnsi="Times New Roman" w:cs="Times New Roman"/>
          <w:b/>
          <w:sz w:val="24"/>
          <w:szCs w:val="24"/>
        </w:rPr>
        <w:t>.</w:t>
      </w:r>
      <w:r w:rsidR="00F509FC" w:rsidRPr="0064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A34" w:rsidRPr="00642F45">
        <w:rPr>
          <w:rFonts w:ascii="Times New Roman" w:hAnsi="Times New Roman" w:cs="Times New Roman"/>
          <w:b/>
          <w:sz w:val="24"/>
          <w:szCs w:val="24"/>
        </w:rPr>
        <w:t xml:space="preserve">В статье 41 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>«Порядок принятия Устава сельсовета, внесения изменений и дополнений в настоящий Устав»:</w:t>
      </w:r>
    </w:p>
    <w:p w:rsidR="00246A34" w:rsidRPr="00642F45" w:rsidRDefault="00246A34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1) Абзац 2 части 7 статьи изложить в новой редакции:</w:t>
      </w:r>
    </w:p>
    <w:p w:rsidR="0058182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45">
        <w:rPr>
          <w:rFonts w:ascii="Times New Roman" w:hAnsi="Times New Roman" w:cs="Times New Roman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</w:t>
      </w:r>
      <w:proofErr w:type="gramEnd"/>
      <w:r w:rsidRPr="00642F45">
        <w:rPr>
          <w:rFonts w:ascii="Times New Roman" w:hAnsi="Times New Roman" w:cs="Times New Roman"/>
          <w:sz w:val="24"/>
          <w:szCs w:val="24"/>
        </w:rPr>
        <w:t xml:space="preserve"> и дополнений в настоящий Устав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509FC" w:rsidRPr="00642F45" w:rsidRDefault="00F509FC" w:rsidP="00642F45">
      <w:pPr>
        <w:shd w:val="clear" w:color="auto" w:fill="FFFFFF"/>
        <w:spacing w:before="60" w:after="0" w:line="312" w:lineRule="atLeast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дополнения, внесенные в Устав,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642F45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bCs/>
          <w:sz w:val="24"/>
          <w:szCs w:val="24"/>
        </w:rPr>
        <w:t>2) Дополнить частью 7.1. следующего содержания: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«7.1.Изменения и дополнения в устав сельсовета вносятся муниципальным правовым актом, который может оформляться: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1)решением сельского Совета, подписанным главой местного самоуправления;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>2)отдельным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246A34" w:rsidP="00642F4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3) Дополнить частью </w:t>
      </w:r>
      <w:r w:rsidR="00E77542"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642F45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следующего содержания: 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45">
        <w:rPr>
          <w:rFonts w:ascii="Times New Roman" w:hAnsi="Times New Roman" w:cs="Times New Roman"/>
          <w:bCs/>
          <w:sz w:val="24"/>
          <w:szCs w:val="24"/>
        </w:rPr>
        <w:t>«9. Изложение устава сельсовета в новой редакции муниципальным правовым актом о внесении изменений и дополнений в устав сельсовета</w:t>
      </w:r>
      <w:r w:rsidRPr="00642F4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642F45">
        <w:rPr>
          <w:rFonts w:ascii="Times New Roman" w:hAnsi="Times New Roman" w:cs="Times New Roman"/>
          <w:bCs/>
          <w:sz w:val="24"/>
          <w:szCs w:val="24"/>
        </w:rPr>
        <w:t>не допускается. В этом случае принимается новый устав сельсовета, а ранее действующий устав сельсовета</w:t>
      </w:r>
      <w:r w:rsidRPr="00642F45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642F45">
        <w:rPr>
          <w:rFonts w:ascii="Times New Roman" w:hAnsi="Times New Roman" w:cs="Times New Roman"/>
          <w:bCs/>
          <w:sz w:val="24"/>
          <w:szCs w:val="24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</w:t>
      </w:r>
      <w:proofErr w:type="gramStart"/>
      <w:r w:rsidRPr="00642F45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F509FC" w:rsidRPr="00642F45" w:rsidRDefault="004559EE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11. Дополнить статьей 41</w:t>
      </w:r>
      <w:r w:rsidR="00F509FC"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.1 следующего содержания:</w:t>
      </w:r>
    </w:p>
    <w:p w:rsidR="00F509FC" w:rsidRPr="00642F45" w:rsidRDefault="004559EE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bCs/>
          <w:sz w:val="24"/>
          <w:szCs w:val="24"/>
        </w:rPr>
        <w:t>«Статья 41</w:t>
      </w:r>
      <w:r w:rsidR="00F509FC" w:rsidRPr="00642F45">
        <w:rPr>
          <w:rFonts w:ascii="Times New Roman" w:eastAsia="Times New Roman" w:hAnsi="Times New Roman" w:cs="Times New Roman"/>
          <w:bCs/>
          <w:sz w:val="24"/>
          <w:szCs w:val="24"/>
        </w:rPr>
        <w:t>.1. Содержание правил благоустройства территории сельсовета.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1. Правила благоустройства территории сельсовета утверждаются сельским Советом.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2. Правила благоустройства территории сельсовета могут регулировать вопросы: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4) организации освещения территории сельсовета, включая архитектурную подсветку зданий, строений, сооружений;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организации озеленения территории сельсовета, включая порядок создания, содержания, восстановления и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6) размещения информации на территории сельсовета, в том числе установки указателей с наименованиями улиц и номерами домов, вывесок;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9) обустройства территории сельсовета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10) уборки территории сельсовета, в том числе в зимний период;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Pr="00642F45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Нижегородской области;</w:t>
      </w:r>
      <w:r w:rsidRPr="00642F45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15) праздничного оформления территории сельсовета;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сельсовета;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сельсовета.</w:t>
      </w:r>
    </w:p>
    <w:p w:rsidR="00F509FC" w:rsidRPr="00642F45" w:rsidRDefault="00F509FC" w:rsidP="00642F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>3. Законом Нижегородской области могут быть предусмотрены иные вопросы, регулируемые правилами благоустройства территории сельсовета,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559EE" w:rsidRPr="00642F45" w:rsidRDefault="004559EE" w:rsidP="00642F45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12</w:t>
      </w:r>
      <w:r w:rsidR="00246A34"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. </w:t>
      </w: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В статье 42 «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принятия и вступления в силу муниципальных правовых актов»:</w:t>
      </w:r>
    </w:p>
    <w:p w:rsidR="004559EE" w:rsidRPr="00642F45" w:rsidRDefault="004559EE" w:rsidP="00642F4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F45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а) Часть 5 статьи 42 </w:t>
      </w:r>
      <w:r w:rsidRPr="0064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4559EE" w:rsidRPr="00642F45" w:rsidRDefault="004559EE" w:rsidP="00642F4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642F45">
        <w:rPr>
          <w:rFonts w:ascii="Times New Roman" w:eastAsia="Arial Unicode MS" w:hAnsi="Times New Roman" w:cs="Times New Roman"/>
          <w:sz w:val="24"/>
          <w:szCs w:val="24"/>
          <w:lang w:eastAsia="en-US"/>
        </w:rPr>
        <w:t>сельсовет</w:t>
      </w:r>
      <w:r w:rsidRPr="00642F45">
        <w:rPr>
          <w:rFonts w:ascii="Times New Roman" w:eastAsia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46A34" w:rsidRPr="00642F45" w:rsidRDefault="004559EE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45">
        <w:rPr>
          <w:rFonts w:ascii="Times New Roman" w:hAnsi="Times New Roman" w:cs="Times New Roman"/>
          <w:b/>
          <w:sz w:val="24"/>
          <w:szCs w:val="24"/>
        </w:rPr>
        <w:t>13</w:t>
      </w:r>
      <w:r w:rsidR="00246A34" w:rsidRPr="00642F45">
        <w:rPr>
          <w:rFonts w:ascii="Times New Roman" w:hAnsi="Times New Roman" w:cs="Times New Roman"/>
          <w:b/>
          <w:sz w:val="24"/>
          <w:szCs w:val="24"/>
        </w:rPr>
        <w:t xml:space="preserve">. Статью 48 </w:t>
      </w:r>
      <w:r w:rsidR="00246A34" w:rsidRPr="00642F45">
        <w:rPr>
          <w:rFonts w:ascii="Times New Roman" w:hAnsi="Times New Roman" w:cs="Times New Roman"/>
          <w:b/>
          <w:bCs/>
          <w:sz w:val="24"/>
          <w:szCs w:val="24"/>
        </w:rPr>
        <w:t>«Средства самообложения граждан» изложить в новой редакции:</w:t>
      </w:r>
    </w:p>
    <w:p w:rsidR="00246A34" w:rsidRPr="00642F45" w:rsidRDefault="00246A34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F45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42F45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EE5FE1" w:rsidRPr="00642F45" w:rsidRDefault="00EE5FE1" w:rsidP="00642F45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642F45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указанных в </w:t>
      </w:r>
      <w:hyperlink r:id="rId15" w:anchor="000776" w:history="1">
        <w:r w:rsidRPr="00642F4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части 1</w:t>
        </w:r>
      </w:hyperlink>
      <w:r w:rsidRPr="00642F4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пунктами 4 и 4.1 части 1 статьи  ст. 25.1  Федерального закона от 6 октября 2003 года № 131-ФЗ «Об общих принципах организации местного самоуправления», на сходе граждан.»</w:t>
      </w:r>
    </w:p>
    <w:p w:rsidR="00F509FC" w:rsidRPr="00642F45" w:rsidRDefault="00F509FC" w:rsidP="00642F4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9FC" w:rsidRPr="00642F45" w:rsidRDefault="00F509FC" w:rsidP="00642F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09FC" w:rsidRPr="00642F45" w:rsidSect="00D56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58" w:rsidRDefault="00012558" w:rsidP="00103E77">
      <w:pPr>
        <w:spacing w:after="0" w:line="240" w:lineRule="auto"/>
      </w:pPr>
      <w:r>
        <w:separator/>
      </w:r>
    </w:p>
  </w:endnote>
  <w:endnote w:type="continuationSeparator" w:id="0">
    <w:p w:rsidR="00012558" w:rsidRDefault="00012558" w:rsidP="0010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58" w:rsidRDefault="00012558" w:rsidP="00103E77">
      <w:pPr>
        <w:spacing w:after="0" w:line="240" w:lineRule="auto"/>
      </w:pPr>
      <w:r>
        <w:separator/>
      </w:r>
    </w:p>
  </w:footnote>
  <w:footnote w:type="continuationSeparator" w:id="0">
    <w:p w:rsidR="00012558" w:rsidRDefault="00012558" w:rsidP="0010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83E"/>
    <w:multiLevelType w:val="hybridMultilevel"/>
    <w:tmpl w:val="BD586E00"/>
    <w:lvl w:ilvl="0" w:tplc="35E87FC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520551BD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1FB7"/>
    <w:multiLevelType w:val="hybridMultilevel"/>
    <w:tmpl w:val="6D942C64"/>
    <w:lvl w:ilvl="0" w:tplc="66CAED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6BC06B88"/>
    <w:multiLevelType w:val="hybridMultilevel"/>
    <w:tmpl w:val="930CD066"/>
    <w:lvl w:ilvl="0" w:tplc="B300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D092E"/>
    <w:multiLevelType w:val="hybridMultilevel"/>
    <w:tmpl w:val="7FA43E2E"/>
    <w:lvl w:ilvl="0" w:tplc="8506A03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7EFF50B2"/>
    <w:multiLevelType w:val="hybridMultilevel"/>
    <w:tmpl w:val="422ABA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F"/>
    <w:rsid w:val="00001B84"/>
    <w:rsid w:val="00012558"/>
    <w:rsid w:val="000419D1"/>
    <w:rsid w:val="00047ABF"/>
    <w:rsid w:val="00075DC5"/>
    <w:rsid w:val="00085784"/>
    <w:rsid w:val="00094C48"/>
    <w:rsid w:val="000A1651"/>
    <w:rsid w:val="000F0DC6"/>
    <w:rsid w:val="000F1805"/>
    <w:rsid w:val="000F5713"/>
    <w:rsid w:val="00103E77"/>
    <w:rsid w:val="00132193"/>
    <w:rsid w:val="001536EF"/>
    <w:rsid w:val="00163CFF"/>
    <w:rsid w:val="00190145"/>
    <w:rsid w:val="00191371"/>
    <w:rsid w:val="0019532E"/>
    <w:rsid w:val="00195676"/>
    <w:rsid w:val="001C41F7"/>
    <w:rsid w:val="001F3CA6"/>
    <w:rsid w:val="001F626F"/>
    <w:rsid w:val="00206926"/>
    <w:rsid w:val="00246A34"/>
    <w:rsid w:val="00256929"/>
    <w:rsid w:val="00292B11"/>
    <w:rsid w:val="002A6CE3"/>
    <w:rsid w:val="002C3913"/>
    <w:rsid w:val="002C4C3A"/>
    <w:rsid w:val="002D35EF"/>
    <w:rsid w:val="002E24D8"/>
    <w:rsid w:val="002E763B"/>
    <w:rsid w:val="00300A9E"/>
    <w:rsid w:val="003025B6"/>
    <w:rsid w:val="00306C5B"/>
    <w:rsid w:val="0032419C"/>
    <w:rsid w:val="00342599"/>
    <w:rsid w:val="00355944"/>
    <w:rsid w:val="00365090"/>
    <w:rsid w:val="00366566"/>
    <w:rsid w:val="00380E92"/>
    <w:rsid w:val="00396EC6"/>
    <w:rsid w:val="003A70B5"/>
    <w:rsid w:val="003A79F0"/>
    <w:rsid w:val="003D241E"/>
    <w:rsid w:val="003D2C31"/>
    <w:rsid w:val="00404B92"/>
    <w:rsid w:val="00422CD6"/>
    <w:rsid w:val="004559EE"/>
    <w:rsid w:val="00470DDD"/>
    <w:rsid w:val="004747B4"/>
    <w:rsid w:val="004774A8"/>
    <w:rsid w:val="004811D6"/>
    <w:rsid w:val="004979B8"/>
    <w:rsid w:val="004A3180"/>
    <w:rsid w:val="004B12DB"/>
    <w:rsid w:val="004B1658"/>
    <w:rsid w:val="004C10BA"/>
    <w:rsid w:val="004C2C3E"/>
    <w:rsid w:val="004D6F4A"/>
    <w:rsid w:val="005005AA"/>
    <w:rsid w:val="0050393D"/>
    <w:rsid w:val="00505143"/>
    <w:rsid w:val="00511EB4"/>
    <w:rsid w:val="005450A6"/>
    <w:rsid w:val="00553C0C"/>
    <w:rsid w:val="00570FEE"/>
    <w:rsid w:val="0057396C"/>
    <w:rsid w:val="00581824"/>
    <w:rsid w:val="005A43AC"/>
    <w:rsid w:val="005B1576"/>
    <w:rsid w:val="005C3B7F"/>
    <w:rsid w:val="005D09F9"/>
    <w:rsid w:val="005D226E"/>
    <w:rsid w:val="005D4041"/>
    <w:rsid w:val="005E6C1D"/>
    <w:rsid w:val="00613B7A"/>
    <w:rsid w:val="00613EBA"/>
    <w:rsid w:val="00631E27"/>
    <w:rsid w:val="006341A4"/>
    <w:rsid w:val="00642F45"/>
    <w:rsid w:val="00680095"/>
    <w:rsid w:val="00692E8E"/>
    <w:rsid w:val="006B0897"/>
    <w:rsid w:val="006B4591"/>
    <w:rsid w:val="006D7A0D"/>
    <w:rsid w:val="006F4A48"/>
    <w:rsid w:val="00717E54"/>
    <w:rsid w:val="00722DE7"/>
    <w:rsid w:val="00742DDF"/>
    <w:rsid w:val="007438A0"/>
    <w:rsid w:val="00765526"/>
    <w:rsid w:val="0078470A"/>
    <w:rsid w:val="007871FD"/>
    <w:rsid w:val="007A38F7"/>
    <w:rsid w:val="007B14DC"/>
    <w:rsid w:val="007B66B5"/>
    <w:rsid w:val="007C11FD"/>
    <w:rsid w:val="007F2BBA"/>
    <w:rsid w:val="00826D21"/>
    <w:rsid w:val="00861B19"/>
    <w:rsid w:val="008672EB"/>
    <w:rsid w:val="00896D70"/>
    <w:rsid w:val="008B7C0B"/>
    <w:rsid w:val="008C271A"/>
    <w:rsid w:val="008D1FA1"/>
    <w:rsid w:val="0090002A"/>
    <w:rsid w:val="00923C38"/>
    <w:rsid w:val="00936FBE"/>
    <w:rsid w:val="0095574F"/>
    <w:rsid w:val="00973AA5"/>
    <w:rsid w:val="0098034F"/>
    <w:rsid w:val="00986115"/>
    <w:rsid w:val="00986DFB"/>
    <w:rsid w:val="009A46C2"/>
    <w:rsid w:val="009B5D50"/>
    <w:rsid w:val="009E00AB"/>
    <w:rsid w:val="009F0F1B"/>
    <w:rsid w:val="00A30927"/>
    <w:rsid w:val="00A35E75"/>
    <w:rsid w:val="00A40CBB"/>
    <w:rsid w:val="00A61F55"/>
    <w:rsid w:val="00A65801"/>
    <w:rsid w:val="00A9039F"/>
    <w:rsid w:val="00AA25CE"/>
    <w:rsid w:val="00AA332E"/>
    <w:rsid w:val="00AB1006"/>
    <w:rsid w:val="00AB6B93"/>
    <w:rsid w:val="00AC29E2"/>
    <w:rsid w:val="00AF1EFF"/>
    <w:rsid w:val="00AF3E54"/>
    <w:rsid w:val="00B007AD"/>
    <w:rsid w:val="00B26ECD"/>
    <w:rsid w:val="00B72923"/>
    <w:rsid w:val="00B74FA4"/>
    <w:rsid w:val="00B7727F"/>
    <w:rsid w:val="00B97050"/>
    <w:rsid w:val="00BC2D2D"/>
    <w:rsid w:val="00BD18CD"/>
    <w:rsid w:val="00BF0337"/>
    <w:rsid w:val="00C03713"/>
    <w:rsid w:val="00C07F79"/>
    <w:rsid w:val="00C17175"/>
    <w:rsid w:val="00C17588"/>
    <w:rsid w:val="00C50FDB"/>
    <w:rsid w:val="00C616C5"/>
    <w:rsid w:val="00C64CEA"/>
    <w:rsid w:val="00C7472E"/>
    <w:rsid w:val="00C87A5B"/>
    <w:rsid w:val="00CB7553"/>
    <w:rsid w:val="00CC356E"/>
    <w:rsid w:val="00CD6F34"/>
    <w:rsid w:val="00CE1CBA"/>
    <w:rsid w:val="00D146B0"/>
    <w:rsid w:val="00D20FFA"/>
    <w:rsid w:val="00D360A5"/>
    <w:rsid w:val="00D568ED"/>
    <w:rsid w:val="00D716E5"/>
    <w:rsid w:val="00D76215"/>
    <w:rsid w:val="00D86C16"/>
    <w:rsid w:val="00D9403A"/>
    <w:rsid w:val="00D96EED"/>
    <w:rsid w:val="00D96F75"/>
    <w:rsid w:val="00D976FF"/>
    <w:rsid w:val="00DB4438"/>
    <w:rsid w:val="00DF1F89"/>
    <w:rsid w:val="00DF7233"/>
    <w:rsid w:val="00E42773"/>
    <w:rsid w:val="00E4571A"/>
    <w:rsid w:val="00E636DE"/>
    <w:rsid w:val="00E77542"/>
    <w:rsid w:val="00EE09E7"/>
    <w:rsid w:val="00EE5FE1"/>
    <w:rsid w:val="00EF611A"/>
    <w:rsid w:val="00EF7CEA"/>
    <w:rsid w:val="00F24645"/>
    <w:rsid w:val="00F264B3"/>
    <w:rsid w:val="00F33EC8"/>
    <w:rsid w:val="00F509FC"/>
    <w:rsid w:val="00F50A71"/>
    <w:rsid w:val="00F5284A"/>
    <w:rsid w:val="00F54CD1"/>
    <w:rsid w:val="00F56BA0"/>
    <w:rsid w:val="00F745BC"/>
    <w:rsid w:val="00F80AAF"/>
    <w:rsid w:val="00FA3C85"/>
    <w:rsid w:val="00FA43E5"/>
    <w:rsid w:val="00FB0FC9"/>
    <w:rsid w:val="00FB24DA"/>
    <w:rsid w:val="00FB6A8B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5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C72A7D9EB9226F56001176B9DA24F5E0CA1EC634132DE56B17585CADE2650CF576FCAF77BFE012lBp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5BD49A61266D9A55B5A13003595213837AA0C954828C47B89868R0w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DA9630072F93629DCC2DC8FB2A304A7A74E89B519EA416B5B51DC134065E978CD823C0U5n5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131_FZ-ob-obwih-principah-organizacii-mestnogo-samoupravlenija/" TargetMode="External"/><Relationship Id="rId10" Type="http://schemas.openxmlformats.org/officeDocument/2006/relationships/hyperlink" Target="consultantplus://offline/ref=E9DA9630072F93629DCC2DC8FB2A304A7A74E89B519EA416B5B51DC134065E978CD823C457CEEBA8U5n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A5642856236C740842BDBE341AE8CA090574720E131AAD79A74BDEACBAD632C5CC6037137C0EFD064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AC3A-1DCF-47B4-BBF4-7CB7765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25</cp:revision>
  <cp:lastPrinted>2018-07-03T05:34:00Z</cp:lastPrinted>
  <dcterms:created xsi:type="dcterms:W3CDTF">2018-06-13T07:26:00Z</dcterms:created>
  <dcterms:modified xsi:type="dcterms:W3CDTF">2018-07-25T07:09:00Z</dcterms:modified>
</cp:coreProperties>
</file>