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27179A" w:rsidP="007C2D25">
      <w:pPr>
        <w:tabs>
          <w:tab w:val="left" w:pos="1843"/>
          <w:tab w:val="left" w:pos="9498"/>
        </w:tabs>
        <w:rPr>
          <w:rFonts w:eastAsia="Times New Roman"/>
        </w:rPr>
      </w:pPr>
      <w:r>
        <w:rPr>
          <w:rFonts w:eastAsia="Times New Roman"/>
          <w:u w:val="single"/>
        </w:rPr>
        <w:t>17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>
        <w:rPr>
          <w:rFonts w:eastAsia="Times New Roman"/>
        </w:rPr>
        <w:t>8</w:t>
      </w:r>
      <w:r w:rsidR="00D63B6F">
        <w:rPr>
          <w:rFonts w:eastAsia="Times New Roman"/>
        </w:rPr>
        <w:t>6</w:t>
      </w:r>
    </w:p>
    <w:p w:rsidR="00804AA6" w:rsidRDefault="00804AA6" w:rsidP="00804AA6">
      <w:pPr>
        <w:tabs>
          <w:tab w:val="left" w:pos="1843"/>
          <w:tab w:val="left" w:pos="9498"/>
        </w:tabs>
        <w:rPr>
          <w:b/>
        </w:rPr>
      </w:pPr>
    </w:p>
    <w:p w:rsidR="00D63B6F" w:rsidRPr="00AA3DC8" w:rsidRDefault="00D63B6F" w:rsidP="00D63B6F">
      <w:pPr>
        <w:autoSpaceDE w:val="0"/>
        <w:autoSpaceDN w:val="0"/>
        <w:adjustRightInd w:val="0"/>
        <w:jc w:val="center"/>
        <w:rPr>
          <w:b/>
        </w:rPr>
      </w:pPr>
      <w:r w:rsidRPr="00AA3DC8">
        <w:rPr>
          <w:b/>
        </w:rPr>
        <w:t xml:space="preserve">О прогнозе социально-экономического развития </w:t>
      </w:r>
    </w:p>
    <w:p w:rsidR="00D63B6F" w:rsidRPr="00AA3DC8" w:rsidRDefault="00D63B6F" w:rsidP="00D63B6F">
      <w:pPr>
        <w:autoSpaceDE w:val="0"/>
        <w:autoSpaceDN w:val="0"/>
        <w:adjustRightInd w:val="0"/>
        <w:jc w:val="center"/>
        <w:rPr>
          <w:b/>
        </w:rPr>
      </w:pPr>
      <w:r w:rsidRPr="00AA3DC8">
        <w:rPr>
          <w:b/>
        </w:rPr>
        <w:t xml:space="preserve">Воскресенского муниципального района Нижегородской области </w:t>
      </w:r>
    </w:p>
    <w:p w:rsidR="00D63B6F" w:rsidRDefault="00D63B6F" w:rsidP="00D63B6F">
      <w:pPr>
        <w:autoSpaceDE w:val="0"/>
        <w:autoSpaceDN w:val="0"/>
        <w:adjustRightInd w:val="0"/>
        <w:jc w:val="center"/>
        <w:rPr>
          <w:b/>
        </w:rPr>
      </w:pPr>
      <w:r w:rsidRPr="00AA3DC8">
        <w:rPr>
          <w:b/>
        </w:rPr>
        <w:t>на среднесрочный период (на 202</w:t>
      </w:r>
      <w:r>
        <w:rPr>
          <w:b/>
        </w:rPr>
        <w:t>1</w:t>
      </w:r>
      <w:r w:rsidRPr="00AA3DC8">
        <w:rPr>
          <w:b/>
        </w:rPr>
        <w:t xml:space="preserve"> год и на плановый период 202</w:t>
      </w:r>
      <w:r>
        <w:rPr>
          <w:b/>
        </w:rPr>
        <w:t>2</w:t>
      </w:r>
      <w:r w:rsidRPr="00AA3DC8">
        <w:rPr>
          <w:b/>
        </w:rPr>
        <w:t>-202</w:t>
      </w:r>
      <w:r>
        <w:rPr>
          <w:b/>
        </w:rPr>
        <w:t>3</w:t>
      </w:r>
      <w:r w:rsidRPr="00AA3DC8">
        <w:rPr>
          <w:b/>
        </w:rPr>
        <w:t>г.г.)</w:t>
      </w:r>
    </w:p>
    <w:p w:rsidR="00D63B6F" w:rsidRPr="00AA3DC8" w:rsidRDefault="00D63B6F" w:rsidP="00D63B6F">
      <w:pPr>
        <w:autoSpaceDE w:val="0"/>
        <w:autoSpaceDN w:val="0"/>
        <w:adjustRightInd w:val="0"/>
        <w:jc w:val="center"/>
        <w:rPr>
          <w:b/>
        </w:rPr>
      </w:pPr>
    </w:p>
    <w:p w:rsidR="00D63B6F" w:rsidRPr="00AA3DC8" w:rsidRDefault="00D63B6F" w:rsidP="00D63B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A3DC8">
        <w:rPr>
          <w:lang w:eastAsia="en-US"/>
        </w:rPr>
        <w:t xml:space="preserve">Заслушав и обсудив информацию начальника отдела экономики, прогнозирования и ресурсов администрации района </w:t>
      </w:r>
      <w:proofErr w:type="spellStart"/>
      <w:r w:rsidRPr="00AA3DC8">
        <w:rPr>
          <w:lang w:eastAsia="en-US"/>
        </w:rPr>
        <w:t>И.В.Агеевой</w:t>
      </w:r>
      <w:proofErr w:type="spellEnd"/>
      <w:r w:rsidRPr="00AA3DC8">
        <w:rPr>
          <w:lang w:eastAsia="en-US"/>
        </w:rPr>
        <w:t xml:space="preserve"> о прогнозе социально-экономического развития Воскресенского муниципального района Нижегородской области на среднесрочный период  (на 202</w:t>
      </w:r>
      <w:r>
        <w:rPr>
          <w:lang w:eastAsia="en-US"/>
        </w:rPr>
        <w:t>1</w:t>
      </w:r>
      <w:r w:rsidRPr="00AA3DC8">
        <w:rPr>
          <w:lang w:eastAsia="en-US"/>
        </w:rPr>
        <w:t xml:space="preserve"> год и на плановый период 202</w:t>
      </w:r>
      <w:r>
        <w:rPr>
          <w:lang w:eastAsia="en-US"/>
        </w:rPr>
        <w:t>2</w:t>
      </w:r>
      <w:r w:rsidRPr="00AA3DC8">
        <w:rPr>
          <w:lang w:eastAsia="en-US"/>
        </w:rPr>
        <w:t>-202</w:t>
      </w:r>
      <w:r>
        <w:rPr>
          <w:lang w:eastAsia="en-US"/>
        </w:rPr>
        <w:t>3</w:t>
      </w:r>
      <w:r w:rsidRPr="00AA3DC8">
        <w:rPr>
          <w:lang w:eastAsia="en-US"/>
        </w:rPr>
        <w:t>г.г.),</w:t>
      </w:r>
    </w:p>
    <w:p w:rsidR="00D63B6F" w:rsidRDefault="00D63B6F" w:rsidP="00D63B6F">
      <w:pPr>
        <w:spacing w:line="276" w:lineRule="auto"/>
        <w:jc w:val="center"/>
      </w:pPr>
    </w:p>
    <w:p w:rsidR="00D63B6F" w:rsidRDefault="00D63B6F" w:rsidP="00D63B6F">
      <w:pPr>
        <w:spacing w:line="276" w:lineRule="auto"/>
        <w:jc w:val="center"/>
      </w:pPr>
      <w:r w:rsidRPr="00AA3DC8">
        <w:t xml:space="preserve">Земское собрание района </w:t>
      </w:r>
      <w:r w:rsidRPr="00AA3DC8">
        <w:rPr>
          <w:spacing w:val="80"/>
        </w:rPr>
        <w:t>решило</w:t>
      </w:r>
      <w:r w:rsidRPr="00AA3DC8">
        <w:t>:</w:t>
      </w:r>
    </w:p>
    <w:p w:rsidR="00D63B6F" w:rsidRPr="00AA3DC8" w:rsidRDefault="00D63B6F" w:rsidP="00D63B6F">
      <w:pPr>
        <w:spacing w:line="276" w:lineRule="auto"/>
        <w:jc w:val="center"/>
      </w:pPr>
    </w:p>
    <w:p w:rsidR="00D63B6F" w:rsidRPr="00AA3DC8" w:rsidRDefault="00D63B6F" w:rsidP="00D63B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AA3DC8">
        <w:rPr>
          <w:lang w:eastAsia="en-US"/>
        </w:rPr>
        <w:t>Информацию о прогнозе социально-экономического развития Воскресенского муниципального района Нижегородской области на среднесрочный период (на 202</w:t>
      </w:r>
      <w:r>
        <w:rPr>
          <w:lang w:eastAsia="en-US"/>
        </w:rPr>
        <w:t>1</w:t>
      </w:r>
      <w:r w:rsidRPr="00AA3DC8">
        <w:rPr>
          <w:lang w:eastAsia="en-US"/>
        </w:rPr>
        <w:t xml:space="preserve"> год и на плановый период 202</w:t>
      </w:r>
      <w:r>
        <w:rPr>
          <w:lang w:eastAsia="en-US"/>
        </w:rPr>
        <w:t>2</w:t>
      </w:r>
      <w:r w:rsidRPr="00AA3DC8">
        <w:rPr>
          <w:lang w:eastAsia="en-US"/>
        </w:rPr>
        <w:t>-202</w:t>
      </w:r>
      <w:r>
        <w:rPr>
          <w:lang w:eastAsia="en-US"/>
        </w:rPr>
        <w:t>3</w:t>
      </w:r>
      <w:r w:rsidRPr="00AA3DC8">
        <w:rPr>
          <w:lang w:eastAsia="en-US"/>
        </w:rPr>
        <w:t xml:space="preserve">г.г.) </w:t>
      </w:r>
      <w:r w:rsidRPr="00AA3DC8">
        <w:t xml:space="preserve"> </w:t>
      </w:r>
      <w:proofErr w:type="gramStart"/>
      <w:r w:rsidRPr="00AA3DC8">
        <w:t>согласно приложения</w:t>
      </w:r>
      <w:proofErr w:type="gramEnd"/>
      <w:r w:rsidRPr="00AA3DC8">
        <w:t xml:space="preserve"> </w:t>
      </w:r>
      <w:r w:rsidRPr="00AA3DC8">
        <w:rPr>
          <w:lang w:eastAsia="en-US"/>
        </w:rPr>
        <w:t>принять к сведению.</w:t>
      </w:r>
    </w:p>
    <w:p w:rsidR="004B6B23" w:rsidRDefault="004B6B23" w:rsidP="00D63B6F">
      <w:pPr>
        <w:spacing w:line="276" w:lineRule="auto"/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27179A" w:rsidRPr="00986417" w:rsidTr="00243B6D">
        <w:trPr>
          <w:trHeight w:val="951"/>
        </w:trPr>
        <w:tc>
          <w:tcPr>
            <w:tcW w:w="3973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Председатель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Земского собрания района </w:t>
            </w:r>
          </w:p>
          <w:p w:rsidR="0027179A" w:rsidRPr="00986417" w:rsidRDefault="0027179A" w:rsidP="008D23B7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          </w:t>
            </w:r>
            <w:proofErr w:type="spellStart"/>
            <w:r w:rsidRPr="00986417">
              <w:t>В.Н.Ольнев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Глава местного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самоуправления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Н.В. Горячев</w:t>
            </w:r>
          </w:p>
        </w:tc>
      </w:tr>
    </w:tbl>
    <w:p w:rsidR="00A83605" w:rsidRDefault="00A83605" w:rsidP="008D23B7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D63B6F" w:rsidRPr="00AA3DC8" w:rsidRDefault="00D63B6F" w:rsidP="00D63B6F">
      <w:pPr>
        <w:jc w:val="right"/>
      </w:pPr>
      <w:r w:rsidRPr="00AA3DC8">
        <w:lastRenderedPageBreak/>
        <w:t>Приложение</w:t>
      </w:r>
      <w:r>
        <w:t xml:space="preserve"> 1</w:t>
      </w:r>
    </w:p>
    <w:p w:rsidR="00D63B6F" w:rsidRPr="00AA3DC8" w:rsidRDefault="00D63B6F" w:rsidP="00D63B6F">
      <w:pPr>
        <w:jc w:val="right"/>
      </w:pPr>
      <w:r w:rsidRPr="00AA3DC8">
        <w:t>к решению Земского собрания</w:t>
      </w:r>
    </w:p>
    <w:p w:rsidR="00D63B6F" w:rsidRPr="00AA3DC8" w:rsidRDefault="00D63B6F" w:rsidP="00D63B6F">
      <w:pPr>
        <w:jc w:val="right"/>
      </w:pPr>
      <w:r w:rsidRPr="00AA3DC8">
        <w:t>Воскресенского муниципального района</w:t>
      </w:r>
    </w:p>
    <w:p w:rsidR="00D63B6F" w:rsidRPr="00AA3DC8" w:rsidRDefault="00D63B6F" w:rsidP="00D63B6F">
      <w:pPr>
        <w:jc w:val="right"/>
      </w:pPr>
      <w:r w:rsidRPr="00AA3DC8">
        <w:t>Нижегородской области</w:t>
      </w:r>
    </w:p>
    <w:p w:rsidR="00D63B6F" w:rsidRPr="00AA3DC8" w:rsidRDefault="00D63B6F" w:rsidP="00D63B6F">
      <w:pPr>
        <w:jc w:val="right"/>
      </w:pPr>
      <w:r w:rsidRPr="00AA3DC8">
        <w:t>от 17.12.2020 №</w:t>
      </w:r>
      <w:r>
        <w:t>86</w:t>
      </w:r>
    </w:p>
    <w:p w:rsidR="00D63B6F" w:rsidRPr="00AA3DC8" w:rsidRDefault="00D63B6F" w:rsidP="00D63B6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A3DC8">
        <w:rPr>
          <w:b/>
          <w:color w:val="000000"/>
        </w:rPr>
        <w:t>О прогнозе социально-экономического развития</w:t>
      </w:r>
    </w:p>
    <w:p w:rsidR="00D63B6F" w:rsidRPr="00AA3DC8" w:rsidRDefault="00D63B6F" w:rsidP="00D63B6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A3DC8">
        <w:rPr>
          <w:b/>
          <w:color w:val="000000"/>
        </w:rPr>
        <w:t>Воскресенского муниципального района Нижегородской области</w:t>
      </w:r>
    </w:p>
    <w:p w:rsidR="00D63B6F" w:rsidRDefault="00D63B6F" w:rsidP="00D63B6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A3DC8">
        <w:rPr>
          <w:b/>
          <w:color w:val="000000"/>
        </w:rPr>
        <w:t>на среднесрочный период (на 202</w:t>
      </w:r>
      <w:r>
        <w:rPr>
          <w:b/>
          <w:color w:val="000000"/>
        </w:rPr>
        <w:t>1</w:t>
      </w:r>
      <w:r w:rsidRPr="00AA3DC8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2</w:t>
      </w:r>
      <w:r w:rsidRPr="00AA3DC8">
        <w:rPr>
          <w:b/>
          <w:color w:val="000000"/>
        </w:rPr>
        <w:t xml:space="preserve"> - 202</w:t>
      </w:r>
      <w:r>
        <w:rPr>
          <w:b/>
          <w:color w:val="000000"/>
        </w:rPr>
        <w:t>3</w:t>
      </w:r>
      <w:r w:rsidRPr="00AA3DC8">
        <w:rPr>
          <w:b/>
          <w:color w:val="000000"/>
        </w:rPr>
        <w:t xml:space="preserve"> годов)</w:t>
      </w:r>
    </w:p>
    <w:p w:rsidR="00D63B6F" w:rsidRPr="003C062A" w:rsidRDefault="00D63B6F" w:rsidP="00D63B6F">
      <w:pPr>
        <w:jc w:val="center"/>
        <w:rPr>
          <w:b/>
          <w:sz w:val="28"/>
          <w:szCs w:val="28"/>
        </w:rPr>
      </w:pPr>
      <w:r w:rsidRPr="000B16D3">
        <w:t xml:space="preserve">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rPr>
          <w:i/>
          <w:u w:val="single"/>
        </w:rPr>
        <w:t>Социально-экономическое развитие Воскресенского района на среднесрочную перспективу формируется</w:t>
      </w:r>
      <w:r w:rsidRPr="006121E3">
        <w:t xml:space="preserve"> с учетом действующей нормативно-правовой базы: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- Бюджетного </w:t>
      </w:r>
      <w:hyperlink r:id="rId10" w:history="1">
        <w:r w:rsidRPr="006121E3">
          <w:rPr>
            <w:rStyle w:val="af"/>
          </w:rPr>
          <w:t>кодекса</w:t>
        </w:r>
      </w:hyperlink>
      <w:r w:rsidRPr="006121E3">
        <w:t xml:space="preserve"> РФ,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- Федерального </w:t>
      </w:r>
      <w:hyperlink r:id="rId11" w:history="1">
        <w:r w:rsidRPr="006121E3">
          <w:rPr>
            <w:rStyle w:val="af"/>
          </w:rPr>
          <w:t>закона</w:t>
        </w:r>
      </w:hyperlink>
      <w:r w:rsidRPr="006121E3">
        <w:t xml:space="preserve"> от 28 июня 2014 года N172-ФЗ "О стратегическом планировании в Российской Федерации",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- </w:t>
      </w:r>
      <w:hyperlink r:id="rId12" w:history="1">
        <w:r w:rsidRPr="006121E3">
          <w:rPr>
            <w:rStyle w:val="af"/>
          </w:rPr>
          <w:t>Закона</w:t>
        </w:r>
      </w:hyperlink>
      <w:r w:rsidRPr="006121E3">
        <w:t xml:space="preserve"> Нижегородской области от 26 февраля 2015 года N24-З "О стратегическом планировании в Нижегородской области", </w:t>
      </w:r>
    </w:p>
    <w:p w:rsidR="00D63B6F" w:rsidRPr="006121E3" w:rsidRDefault="00D63B6F" w:rsidP="00D63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720"/>
        <w:jc w:val="both"/>
      </w:pPr>
      <w:r w:rsidRPr="006121E3">
        <w:t xml:space="preserve">- постановления администрации Воскресенского муниципального района Нижегородской области от 3 ноября 2015 года №1067 «О порядке разработки, корректировки, осуществления мониторинга и контроля </w:t>
      </w:r>
      <w:proofErr w:type="gramStart"/>
      <w:r w:rsidRPr="006121E3">
        <w:t>реализации прогноза социально-экономического развития Воскресенского муниципального района Нижегородской области</w:t>
      </w:r>
      <w:proofErr w:type="gramEnd"/>
      <w:r w:rsidRPr="006121E3">
        <w:t xml:space="preserve"> на среднесрочный период».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rPr>
          <w:i/>
          <w:u w:val="single"/>
        </w:rPr>
        <w:t>Основу формирования прогнозных параметров</w:t>
      </w:r>
      <w:r w:rsidRPr="006121E3">
        <w:t xml:space="preserve"> составляет анализ тенденций развития экономики района за предшествующий период, а также оценка основных показателей социально-экономического развития в 2020 году.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При расчете основных социально-экономических показателей среднесрочного Прогноза: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- учтены планы развития предприятий района, мероприятия, реализация которых предусмотрена муниципальной </w:t>
      </w:r>
      <w:hyperlink r:id="rId13" w:history="1">
        <w:r w:rsidRPr="006121E3">
          <w:rPr>
            <w:rStyle w:val="af"/>
          </w:rPr>
          <w:t>программой</w:t>
        </w:r>
      </w:hyperlink>
      <w:r w:rsidRPr="006121E3">
        <w:t xml:space="preserve"> "Развитие производительных сил Воскресенского муниципального района на 2013 - 2020 годы",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6121E3">
        <w:t xml:space="preserve">- использованы прогноз среднегодовых индексов потребительских цен (тарифов) на товары и услуги по Нижегородской области до 2023 года, рекомендованный Министерством экономики Нижегородской области, и </w:t>
      </w:r>
      <w:r w:rsidRPr="006121E3">
        <w:rPr>
          <w:rStyle w:val="af"/>
        </w:rPr>
        <w:t>Основные параметры</w:t>
      </w:r>
      <w:r w:rsidRPr="006121E3">
        <w:t xml:space="preserve"> прогноза социально-экономического развития Нижегородской области на среднесрочный период (на 2021 год и на плановый период 2022 и 2023 годов) (Приложение 1).</w:t>
      </w:r>
      <w:proofErr w:type="gramEnd"/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hyperlink r:id="rId14" w:anchor="P480" w:history="1">
        <w:r w:rsidRPr="006121E3">
          <w:rPr>
            <w:rStyle w:val="af"/>
            <w:i/>
          </w:rPr>
          <w:t>Основные показатели</w:t>
        </w:r>
      </w:hyperlink>
      <w:r w:rsidRPr="006121E3">
        <w:rPr>
          <w:i/>
          <w:u w:val="single"/>
        </w:rPr>
        <w:t>, характеризующие налогооблагаемую базу на 2021 - 2023 годы по Воскресенскому муниципальному району</w:t>
      </w:r>
      <w:r w:rsidRPr="006121E3">
        <w:t xml:space="preserve"> Нижегородской области (Приложение 2), являются основой формирования бюджета района на 2021 год и на период 2022 - 2023 годов.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>Информационная база формирования среднесрочного Прогноза: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>- данные статистического и налогового учета за 2019 год, 1 квартал 2020 года;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>- параметры среднесрочного прогноза социально-экономического развития Нижегородской области на 2021 год и на период до 2023 года;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- муниципальная </w:t>
      </w:r>
      <w:hyperlink r:id="rId15" w:history="1">
        <w:r w:rsidRPr="006121E3">
          <w:rPr>
            <w:rStyle w:val="af"/>
          </w:rPr>
          <w:t>программа</w:t>
        </w:r>
      </w:hyperlink>
      <w:r w:rsidRPr="006121E3">
        <w:t xml:space="preserve"> "Развитие производительных сил Воскресенского муниципального района на 2013 - 2020 годы";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>- прогнозы экономического развития хозяйствующих субъектов.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rPr>
          <w:bCs/>
        </w:rPr>
        <w:t>На социально-экономическое развитие Воскресенского муниципального района распространится влияние</w:t>
      </w:r>
      <w:r w:rsidRPr="006121E3">
        <w:rPr>
          <w:b/>
        </w:rPr>
        <w:t xml:space="preserve"> </w:t>
      </w:r>
      <w:r w:rsidRPr="006121E3">
        <w:t xml:space="preserve">пандемии </w:t>
      </w:r>
      <w:proofErr w:type="spellStart"/>
      <w:r w:rsidRPr="006121E3">
        <w:t>коронавируса</w:t>
      </w:r>
      <w:proofErr w:type="spellEnd"/>
      <w:r w:rsidRPr="006121E3">
        <w:t xml:space="preserve"> и связанных с ней ограничений.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r w:rsidRPr="006121E3">
        <w:rPr>
          <w:i/>
          <w:u w:val="single"/>
        </w:rPr>
        <w:t>Общая социально-экономическая ситуация в районе на период до 2023 года характеризуется следующими показателями:</w:t>
      </w:r>
    </w:p>
    <w:p w:rsidR="00D63B6F" w:rsidRPr="006121E3" w:rsidRDefault="00D63B6F" w:rsidP="00D63B6F">
      <w:pPr>
        <w:rPr>
          <w:i/>
          <w:u w:val="single"/>
        </w:rPr>
      </w:pPr>
      <w:r w:rsidRPr="006121E3">
        <w:rPr>
          <w:i/>
          <w:u w:val="single"/>
        </w:rPr>
        <w:t>ВВП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 xml:space="preserve">Ключевым показателем, характеризующим уровень развития территории, является ВВП. Объем отгруженной продукции (работ, услуг) за 9 месяцев 2020 года составил 2,14 </w:t>
      </w:r>
      <w:proofErr w:type="spellStart"/>
      <w:r w:rsidRPr="006121E3">
        <w:t>млрд</w:t>
      </w:r>
      <w:proofErr w:type="gramStart"/>
      <w:r w:rsidRPr="006121E3">
        <w:t>.р</w:t>
      </w:r>
      <w:proofErr w:type="gramEnd"/>
      <w:r w:rsidRPr="006121E3">
        <w:t>уб</w:t>
      </w:r>
      <w:proofErr w:type="spellEnd"/>
      <w:r w:rsidRPr="006121E3">
        <w:t xml:space="preserve">., в </w:t>
      </w:r>
      <w:proofErr w:type="spellStart"/>
      <w:r w:rsidRPr="006121E3">
        <w:t>д.ц</w:t>
      </w:r>
      <w:proofErr w:type="spellEnd"/>
      <w:r w:rsidRPr="006121E3">
        <w:t xml:space="preserve">. 174,4%, индекс физического объема – 167,7%. Оценка объема отгрузки на 2020 год – 2,58 </w:t>
      </w:r>
      <w:proofErr w:type="spellStart"/>
      <w:r w:rsidRPr="006121E3">
        <w:t>млрд.руб</w:t>
      </w:r>
      <w:proofErr w:type="spellEnd"/>
      <w:r w:rsidRPr="006121E3">
        <w:t xml:space="preserve">., в </w:t>
      </w:r>
      <w:proofErr w:type="spellStart"/>
      <w:r w:rsidRPr="006121E3">
        <w:t>с.ц</w:t>
      </w:r>
      <w:proofErr w:type="spellEnd"/>
      <w:r w:rsidRPr="006121E3">
        <w:t>. 147,1%.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  <w:rPr>
          <w:i/>
          <w:u w:val="single"/>
        </w:rPr>
      </w:pPr>
      <w:r w:rsidRPr="006121E3">
        <w:lastRenderedPageBreak/>
        <w:t xml:space="preserve">В 2020-2024 </w:t>
      </w:r>
      <w:proofErr w:type="spellStart"/>
      <w:r w:rsidRPr="006121E3">
        <w:t>г.г</w:t>
      </w:r>
      <w:proofErr w:type="spellEnd"/>
      <w:r w:rsidRPr="006121E3">
        <w:t xml:space="preserve">. прогнозируется рост общего объема отгруженной продукции, товаров и услуг по району ежегодно на 2,3-3,7% в сопоставимых ценах.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jc w:val="both"/>
      </w:pPr>
      <w:r w:rsidRPr="006121E3">
        <w:rPr>
          <w:i/>
          <w:u w:val="single"/>
        </w:rPr>
        <w:t>Промышленность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 xml:space="preserve">Главной целью развития реального сектора экономики района в прогнозируемом периоде будет являться обеспечение сохранения объемов и, в последующем, устойчивого роста объемов промышленного производства на основе модернизации предприятий. 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rPr>
          <w:i/>
          <w:u w:val="single"/>
        </w:rPr>
        <w:t>Сельское хозяйство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bookmarkStart w:id="0" w:name="_Toc484674029"/>
      <w:bookmarkStart w:id="1" w:name="_Toc199319378"/>
      <w:bookmarkStart w:id="2" w:name="_Toc452724570"/>
      <w:r w:rsidRPr="006121E3">
        <w:t>Прогнозная оценка показателей деятельности сельскохозяйственных организаций и крестьянских (фермерских) хозяй</w:t>
      </w:r>
      <w:proofErr w:type="gramStart"/>
      <w:r w:rsidRPr="006121E3">
        <w:t>ств пр</w:t>
      </w:r>
      <w:proofErr w:type="gramEnd"/>
      <w:r w:rsidRPr="006121E3">
        <w:t>оизведена на основе предоставленных ими «Планов производственно-финансовой деятельности на 2020 год» с учётом ситуации, сложившейся в сельскохозяйственном производстве района за прошедший период 2020 года. В сводный по району «План производственно-финансовой деятельности на 2020 год» вошли планы 9 сельхозпредприятий и 9 КФХ.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>В 2020 году прогнозируются, что темп роста сельскохозяйственного производства в сопоставимых ценах в данной категории хозяйств составит 81,7%. Прогноз объёма отгрузки продукции, работ и услуг в действующих ценах на 2020 год – 75,345 млн. руб., что на 16,039 млн. руб. (или на 17,6%) меньше, чем за 2019 год.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>Наибольшее влияние на прогнозируемые в 2020 году снижение отгрузки и темпа роста сельскохозяйственного производства в сельхозпредприятиях оказало уменьшение этих показателей в двух сельхозпредприятиях (СПК «</w:t>
      </w:r>
      <w:proofErr w:type="spellStart"/>
      <w:r w:rsidRPr="006121E3">
        <w:t>Ёлкинский</w:t>
      </w:r>
      <w:proofErr w:type="spellEnd"/>
      <w:r w:rsidRPr="006121E3">
        <w:t xml:space="preserve">» </w:t>
      </w:r>
      <w:proofErr w:type="gramStart"/>
      <w:r w:rsidRPr="006121E3">
        <w:t>и ООО</w:t>
      </w:r>
      <w:proofErr w:type="gramEnd"/>
      <w:r w:rsidRPr="006121E3">
        <w:t xml:space="preserve"> «Агрокомбинат «Ветлужский»).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 xml:space="preserve">В 2020 г. ожидается сохранение количества прибыльных сельскохозяйственных организаций, их будет 5. Сумма прибыли у них составит 3 085 тыс. руб. (в 2019 году – 4 628 тыс. руб.). В то же время сумма убытка убыточных организаций за 2020 год составит 2 850 тыс. руб. (в 2019 году – 2 643 тыс. руб.). Таким образом, сальдированная прибыль составит 0,235 млн. руб. (в 2019 году – минус 1,985 млн. руб.). </w:t>
      </w:r>
      <w:bookmarkStart w:id="3" w:name="_Toc484674030"/>
      <w:bookmarkEnd w:id="0"/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rPr>
          <w:i/>
          <w:u w:val="single"/>
        </w:rPr>
        <w:t>Водоснабжение, водоотведение, организация сбора и утилизация отходов</w:t>
      </w:r>
      <w:bookmarkEnd w:id="3"/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 xml:space="preserve">По виду деятельности «водоснабжение, водоотведение, удаление и рекультивация отходов» по крупным и средним организациям до конца текущего года будет отгружено товаров собственного производства, выполнено работ и услуг собственными силами на сумму 22,5 млн. рублей (в сопоставимых ценах составляет 98,7%), в 2021 году – 23,2 млн. рублей (в сопоставимых ценах – 99,1%).  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rPr>
          <w:i/>
          <w:u w:val="single"/>
        </w:rPr>
        <w:t>Строительство</w:t>
      </w:r>
      <w:bookmarkEnd w:id="1"/>
      <w:bookmarkEnd w:id="2"/>
    </w:p>
    <w:p w:rsidR="00D63B6F" w:rsidRPr="006121E3" w:rsidRDefault="00D63B6F" w:rsidP="00D63B6F">
      <w:pPr>
        <w:ind w:firstLine="540"/>
        <w:jc w:val="both"/>
      </w:pPr>
      <w:r w:rsidRPr="006121E3">
        <w:t>Данная отрасль представлена предприятиями дорожно-строительного комплекс</w:t>
      </w:r>
      <w:proofErr w:type="gramStart"/>
      <w:r w:rsidRPr="006121E3">
        <w:t>а ООО</w:t>
      </w:r>
      <w:proofErr w:type="gramEnd"/>
      <w:r w:rsidRPr="006121E3">
        <w:t xml:space="preserve"> ДСК «Гранит», ООО «</w:t>
      </w:r>
      <w:proofErr w:type="spellStart"/>
      <w:r w:rsidRPr="006121E3">
        <w:t>ДорСтройНН</w:t>
      </w:r>
      <w:proofErr w:type="spellEnd"/>
      <w:r w:rsidRPr="006121E3">
        <w:t xml:space="preserve">» и ООО ПМК "Воскресенская" (все малые с 2020 года). </w:t>
      </w:r>
      <w:bookmarkStart w:id="4" w:name="_Toc452724573"/>
    </w:p>
    <w:p w:rsidR="00D63B6F" w:rsidRPr="006121E3" w:rsidRDefault="00D63B6F" w:rsidP="00D63B6F">
      <w:pPr>
        <w:jc w:val="both"/>
      </w:pPr>
      <w:r w:rsidRPr="006121E3">
        <w:rPr>
          <w:i/>
          <w:u w:val="single"/>
        </w:rPr>
        <w:t>Прочие</w:t>
      </w:r>
      <w:bookmarkEnd w:id="4"/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>Оценка и прогноз по прочим видам деятельности рассчитаны с учетом основных параметров (индекс валового продукта) и прогноза сводного индекса потребительских цен.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  <w:rPr>
          <w:i/>
          <w:u w:val="single"/>
        </w:rPr>
      </w:pPr>
      <w:r w:rsidRPr="006121E3">
        <w:rPr>
          <w:i/>
          <w:u w:val="single"/>
        </w:rPr>
        <w:t>Потребительский рынок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>Развитие потребительского рынка в среднесрочной перспективе будет тесно связано с динамикой денежных доходов населения. Розничный товарооборот по всем каналам реализации за 9 месяцев т. г.</w:t>
      </w:r>
      <w:r w:rsidRPr="006121E3">
        <w:rPr>
          <w:color w:val="FF0000"/>
        </w:rPr>
        <w:t xml:space="preserve">  </w:t>
      </w:r>
      <w:r w:rsidRPr="006121E3">
        <w:t xml:space="preserve">составил 1356,9 млн. рублей или 103,2% в сопоставимых ценах. Это 70,3% от оценки на 2020 год. </w:t>
      </w:r>
    </w:p>
    <w:p w:rsidR="00D63B6F" w:rsidRPr="006121E3" w:rsidRDefault="00D63B6F" w:rsidP="00D63B6F">
      <w:pPr>
        <w:ind w:firstLine="540"/>
        <w:jc w:val="both"/>
      </w:pPr>
      <w:r w:rsidRPr="006121E3">
        <w:t xml:space="preserve">Оборот розничной торговли формируется торгующими организациями и индивидуальными предпринимателями, осуществляющими деятельность в стационарной и нестационарной торговой сети. Объем розничного товарооборота на 2020 год составит 1928,9 млн. руб., на 2021 год – 2024,2 млн. руб. Индекс физического объема – 100% и 101%. </w:t>
      </w:r>
    </w:p>
    <w:p w:rsidR="00D63B6F" w:rsidRPr="006121E3" w:rsidRDefault="00D63B6F" w:rsidP="00D63B6F">
      <w:pPr>
        <w:jc w:val="both"/>
      </w:pPr>
      <w:r w:rsidRPr="006121E3">
        <w:rPr>
          <w:i/>
          <w:u w:val="single"/>
        </w:rPr>
        <w:t>Развитие малого предпринимательства</w:t>
      </w:r>
      <w:r w:rsidRPr="006121E3">
        <w:t xml:space="preserve"> будет происходить в рамках реализации областной и муниципальной программ.  В 2020 году на территории района действует 78 малых и </w:t>
      </w:r>
      <w:proofErr w:type="spellStart"/>
      <w:r w:rsidRPr="006121E3">
        <w:t>микропредприятий</w:t>
      </w:r>
      <w:proofErr w:type="spellEnd"/>
      <w:r w:rsidRPr="006121E3">
        <w:t xml:space="preserve">, что </w:t>
      </w:r>
      <w:bookmarkStart w:id="5" w:name="_Hlk57812932"/>
      <w:r w:rsidRPr="006121E3">
        <w:t xml:space="preserve">выше 2019 года на 1,3% (1 ед.). Оценка количества малых и </w:t>
      </w:r>
      <w:proofErr w:type="spellStart"/>
      <w:r w:rsidRPr="006121E3">
        <w:t>микропредприятий</w:t>
      </w:r>
      <w:proofErr w:type="spellEnd"/>
      <w:r w:rsidRPr="006121E3">
        <w:t xml:space="preserve"> на период 2021-2023 гг. составляет 80 ед.</w:t>
      </w:r>
    </w:p>
    <w:bookmarkEnd w:id="5"/>
    <w:p w:rsidR="00D63B6F" w:rsidRPr="006121E3" w:rsidRDefault="00D63B6F" w:rsidP="00D63B6F">
      <w:pPr>
        <w:ind w:firstLine="540"/>
        <w:jc w:val="both"/>
      </w:pPr>
      <w:r w:rsidRPr="006121E3">
        <w:lastRenderedPageBreak/>
        <w:t xml:space="preserve"> Количество индивидуальных предпринимателей в 2020 году – 342, выше 2019 года на 1% (3 ИП). Оценка количества предпринимателей на период 2021-2023 гг. составляет 352 ед.</w:t>
      </w:r>
    </w:p>
    <w:p w:rsidR="00D63B6F" w:rsidRPr="006121E3" w:rsidRDefault="00D63B6F" w:rsidP="00D63B6F">
      <w:pPr>
        <w:ind w:firstLine="540"/>
        <w:jc w:val="both"/>
      </w:pPr>
      <w:r w:rsidRPr="006121E3">
        <w:t xml:space="preserve">Среднесписочная численность работников, занятых у субъектов малого  предпринимательства,  в период 2021-2023 гг. составит 1883 чел., что выше показателя 2019 года на 0,6% (11 чел.). </w:t>
      </w:r>
      <w:proofErr w:type="gramStart"/>
      <w:r w:rsidRPr="006121E3">
        <w:t>Доля среднесписочной численности занятых у субъектов малого и среднего предпринимательства составила 37,8% в 2019 году, на этом же уровне ожидается в 2020-2023 гг.</w:t>
      </w:r>
      <w:proofErr w:type="gramEnd"/>
    </w:p>
    <w:p w:rsidR="00D63B6F" w:rsidRPr="006121E3" w:rsidRDefault="00D63B6F" w:rsidP="00D63B6F">
      <w:pPr>
        <w:ind w:firstLine="540"/>
        <w:jc w:val="both"/>
      </w:pPr>
      <w:r w:rsidRPr="006121E3">
        <w:t>Доля отгруженных товаров (работ, услуг) на предприятиях малого и среднего предпринимательства в общей сумме районной отгрузки в 2019 году составила 84,7%, в 2020-2022 гг. составит более 95%.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  <w:rPr>
          <w:i/>
          <w:u w:val="single"/>
        </w:rPr>
      </w:pPr>
      <w:r w:rsidRPr="006121E3">
        <w:rPr>
          <w:i/>
          <w:u w:val="single"/>
        </w:rPr>
        <w:t>Труд и занятость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  <w:rPr>
          <w:i/>
          <w:color w:val="FF0000"/>
          <w:u w:val="single"/>
        </w:rPr>
      </w:pPr>
      <w:r w:rsidRPr="006121E3">
        <w:t xml:space="preserve">Среднемесячная заработная плата одного работника по полному кругу предприятий и организаций района в соответствии с прогнозом вырастет с 18782,3 рублей в 2019 году до 23430 в 2023 году. 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  <w:r w:rsidRPr="006121E3">
        <w:t xml:space="preserve">На 1 октября текущего года численность формирующих ФОТ в районе составляет 4940 человек. На крупных и средних предприятиях занято 1982 человека (40,1%). 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  <w:r w:rsidRPr="006121E3">
        <w:t xml:space="preserve">Среднемесячная заработная плата по полному кругу предприятий и организаций с начала 2020 года составила 18936,5 рублей (аналогичный период прошлого года – 18164,6 рублей) – 104,2%. На крупных и средних предприятиях и организациях зарплата выше – 27222 руб. (темп роста 106,8% к прошлому году). Средняя начисляемая заработная плата работающих на предприятиях и в организациях района по оценке 2020 года составит 19301,6 руб. 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  <w:r w:rsidRPr="006121E3">
        <w:t>В целом фонд оплаты труда за 2019 год составил 1115,67 млн. рублей, оценка 2020 года – 1144,2 млн. рублей, прогноз на 2021 год – 1229,1 млн. руб. Уровень реальной заработной платы по оценке</w:t>
      </w:r>
      <w:r w:rsidRPr="006121E3">
        <w:rPr>
          <w:color w:val="FF0000"/>
        </w:rPr>
        <w:t xml:space="preserve"> </w:t>
      </w:r>
      <w:r w:rsidRPr="006121E3">
        <w:t>2020 года составит</w:t>
      </w:r>
      <w:r w:rsidRPr="006121E3">
        <w:rPr>
          <w:color w:val="FF0000"/>
        </w:rPr>
        <w:t xml:space="preserve"> </w:t>
      </w:r>
      <w:r w:rsidRPr="006121E3">
        <w:t>99,4%.  В перспективе планируется обеспечить рост реальной зарплаты: 2021 год – 103,3%, 2022 – 102,0%, 2023 год – 102,6%.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rPr>
          <w:i/>
          <w:u w:val="single"/>
        </w:rPr>
      </w:pPr>
      <w:r w:rsidRPr="006121E3">
        <w:rPr>
          <w:i/>
          <w:u w:val="single"/>
        </w:rPr>
        <w:t xml:space="preserve">Финансовое состояние 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  <w:r w:rsidRPr="006121E3">
        <w:t>Прибыль прибыльных организаций по всем видам экономической деятельности по кругу крупных и средних организаций по итогам 2020 года составила</w:t>
      </w:r>
      <w:r w:rsidRPr="006121E3">
        <w:rPr>
          <w:color w:val="FF0000"/>
        </w:rPr>
        <w:t xml:space="preserve"> </w:t>
      </w:r>
      <w:r w:rsidRPr="006121E3">
        <w:t xml:space="preserve">4,7 млн. рублей. 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  <w:r w:rsidRPr="006121E3">
        <w:t>Сумма прибыли по прибыльным крупным и средним предприятиям и организациям по оценке 2020 года может составить 5,19 млн. рублей, в 2020 году – 0,276 млн. рублей. Резкое падение является следствием переход</w:t>
      </w:r>
      <w:proofErr w:type="gramStart"/>
      <w:r w:rsidRPr="006121E3">
        <w:t>а ООО</w:t>
      </w:r>
      <w:proofErr w:type="gramEnd"/>
      <w:r w:rsidRPr="006121E3">
        <w:t xml:space="preserve"> ДСК «Гранит» из категории средних предприятий в малые.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b/>
        </w:rPr>
      </w:pPr>
      <w:r w:rsidRPr="006121E3">
        <w:rPr>
          <w:b/>
        </w:rPr>
        <w:t>Мероприятия, направленные на достижение целей развития: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rPr>
          <w:i/>
          <w:u w:val="single"/>
        </w:rPr>
      </w:pPr>
      <w:r w:rsidRPr="006121E3">
        <w:rPr>
          <w:i/>
          <w:u w:val="single"/>
        </w:rPr>
        <w:t>1. Системное управление социально-экономическим развитием района.</w:t>
      </w:r>
    </w:p>
    <w:p w:rsidR="00D63B6F" w:rsidRPr="006121E3" w:rsidRDefault="00D63B6F" w:rsidP="00D63B6F">
      <w:pPr>
        <w:autoSpaceDE w:val="0"/>
        <w:autoSpaceDN w:val="0"/>
        <w:adjustRightInd w:val="0"/>
        <w:ind w:firstLine="708"/>
        <w:jc w:val="both"/>
      </w:pPr>
      <w:r w:rsidRPr="006121E3">
        <w:t>В области стратегического планирования и проектного управления разработан ряд нормативных актов в целях приведения системы стратегического планирования и проектного управления в районе в соответствие с действующим законодательством:</w:t>
      </w:r>
    </w:p>
    <w:p w:rsidR="00D63B6F" w:rsidRPr="006121E3" w:rsidRDefault="00D63B6F" w:rsidP="00D63B6F">
      <w:pPr>
        <w:autoSpaceDE w:val="0"/>
        <w:autoSpaceDN w:val="0"/>
        <w:adjustRightInd w:val="0"/>
        <w:ind w:firstLine="708"/>
        <w:jc w:val="both"/>
      </w:pPr>
      <w:r w:rsidRPr="006121E3">
        <w:t>- утвержден Перечень документов стратегического планирования Воскресенского муниципального района;</w:t>
      </w:r>
    </w:p>
    <w:p w:rsidR="00D63B6F" w:rsidRPr="006121E3" w:rsidRDefault="00D63B6F" w:rsidP="00D63B6F">
      <w:pPr>
        <w:autoSpaceDE w:val="0"/>
        <w:autoSpaceDN w:val="0"/>
        <w:adjustRightInd w:val="0"/>
        <w:ind w:firstLine="708"/>
        <w:jc w:val="both"/>
      </w:pPr>
      <w:r w:rsidRPr="006121E3">
        <w:t>- принят Порядок разработки, реализации и оценки эффективности муниципальных программ в Воскресенском муниципальном районе Нижегородской области;</w:t>
      </w:r>
    </w:p>
    <w:p w:rsidR="00D63B6F" w:rsidRPr="006121E3" w:rsidRDefault="00D63B6F" w:rsidP="00D63B6F">
      <w:pPr>
        <w:autoSpaceDE w:val="0"/>
        <w:autoSpaceDN w:val="0"/>
        <w:adjustRightInd w:val="0"/>
        <w:ind w:firstLine="708"/>
        <w:jc w:val="both"/>
      </w:pPr>
      <w:r w:rsidRPr="006121E3">
        <w:t>- утверждена методика оценки эффективности муниципальных программ Воскресенского муниципального района.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  <w:rPr>
          <w:i/>
          <w:u w:val="single"/>
        </w:rPr>
      </w:pPr>
      <w:r w:rsidRPr="006121E3">
        <w:rPr>
          <w:i/>
          <w:u w:val="single"/>
        </w:rPr>
        <w:t>2. Программное планирование, ориентированное на результат. Переход к программному бюджету.</w:t>
      </w:r>
    </w:p>
    <w:p w:rsidR="00D63B6F" w:rsidRPr="006121E3" w:rsidRDefault="00D63B6F" w:rsidP="00D63B6F">
      <w:pPr>
        <w:autoSpaceDE w:val="0"/>
        <w:autoSpaceDN w:val="0"/>
        <w:adjustRightInd w:val="0"/>
        <w:ind w:firstLine="708"/>
        <w:jc w:val="both"/>
      </w:pPr>
      <w:r w:rsidRPr="006121E3">
        <w:t>Сформирован перечень муниципальных программ,  в том числе в разрезе сельских поселений, определяется возможность участия района в государственных программах. Мы должны быть заинтересованы в максимально возможном привлечении средств вышестоящих бюджетов  и внебюджетных источников. Поэтому: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введена персональная ответственность кураторов программ за достижение конечных результатов программ,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утверждено 19 муниципальных программ,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lastRenderedPageBreak/>
        <w:t>- муниципальные закупки формируются не только в строгом соответствии с 44-ФЗ, но и введен порядок их нормирования при планировании на очередной год в разрезе ГРБС,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работа по привлечению инвестиций (</w:t>
      </w:r>
      <w:proofErr w:type="spellStart"/>
      <w:r w:rsidRPr="006121E3">
        <w:t>инвестпаспорт</w:t>
      </w:r>
      <w:proofErr w:type="spellEnd"/>
      <w:r w:rsidRPr="006121E3">
        <w:t>, обновление информации об инвестиционных проектах и предлагаемых потенциальным инвесторам инвестиционных площадках для интерактивной карты, работа с Агентством стратегических инициатив и т.п.).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  <w:rPr>
          <w:i/>
          <w:u w:val="single"/>
        </w:rPr>
      </w:pPr>
      <w:r w:rsidRPr="006121E3">
        <w:rPr>
          <w:i/>
          <w:u w:val="single"/>
        </w:rPr>
        <w:t>3. Экономическое развитие территории. Наращивание налогового потенциала.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ab/>
        <w:t xml:space="preserve">Индикаторы, характеризующие деятельность ОМСУ по наращиванию налогового потенциала, выходят на передний план. В целях повышения объективности оценки </w:t>
      </w:r>
      <w:proofErr w:type="gramStart"/>
      <w:r w:rsidRPr="006121E3">
        <w:t>территорий</w:t>
      </w:r>
      <w:proofErr w:type="gramEnd"/>
      <w:r w:rsidRPr="006121E3">
        <w:t xml:space="preserve"> НО учитывается структура экономики районов, а именно, применительно к нашему району – вклад малого бизнеса и итоги выполнения ПРПС для стимулирования их реализации. В этом направлении: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 xml:space="preserve">- в целях повышения предпринимательской активности внедрена оценка регулирующего воздействия проектов нормативно-правовых актов, разработана «карта мер муниципальной поддержки», 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новым направлением становится внедрение Стандарта развития конкуренции,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 xml:space="preserve">- </w:t>
      </w:r>
      <w:proofErr w:type="gramStart"/>
      <w:r w:rsidRPr="006121E3">
        <w:t>актуализирована</w:t>
      </w:r>
      <w:proofErr w:type="gramEnd"/>
      <w:r w:rsidRPr="006121E3">
        <w:t xml:space="preserve"> ПРПС на период до 2020 года,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 xml:space="preserve">- ведется работа по приоритетам развития экономики: лесной комплекс, предпринимательство, туризм, 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ведется работа МВК по вопросам занятости и заработной платы, по борьбе с хищениями  и незаконным оборотом лесных материалов, по контролю соблюдения законодательства в области розничной продажи алкогольной продукции, по упорядочению торговой сети;</w:t>
      </w:r>
    </w:p>
    <w:p w:rsidR="00D63B6F" w:rsidRPr="006121E3" w:rsidRDefault="00D63B6F" w:rsidP="00D63B6F">
      <w:pPr>
        <w:jc w:val="both"/>
        <w:rPr>
          <w:i/>
        </w:rPr>
      </w:pPr>
      <w:r w:rsidRPr="006121E3">
        <w:t xml:space="preserve">- ведется работа Совета АПК, </w:t>
      </w:r>
      <w:proofErr w:type="spellStart"/>
      <w:r w:rsidRPr="006121E3">
        <w:t>техсовета</w:t>
      </w:r>
      <w:proofErr w:type="spellEnd"/>
      <w:r w:rsidRPr="006121E3">
        <w:t>, Фонда ПМП;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организована информационная работа через участие в семинарах, видеоконференциях,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 xml:space="preserve">- ведется работа с федеральными структурами (ЦЗН, ПФ, </w:t>
      </w:r>
      <w:proofErr w:type="gramStart"/>
      <w:r w:rsidRPr="006121E3">
        <w:t>МРИ</w:t>
      </w:r>
      <w:proofErr w:type="gramEnd"/>
      <w:r w:rsidRPr="006121E3">
        <w:t xml:space="preserve"> ФНС).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  <w:rPr>
          <w:i/>
          <w:u w:val="single"/>
        </w:rPr>
      </w:pPr>
      <w:r w:rsidRPr="006121E3">
        <w:rPr>
          <w:i/>
          <w:u w:val="single"/>
        </w:rPr>
        <w:t>4. Эффективность управления. Обеспечение прозрачности деятельности ОМСУ.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ab/>
        <w:t>Оценка эффективности работы ОМСУ складывается из результатов работы по направлениям социально-экономического развития района, а также с учетом мнения населения об удовлетворенности деятельности предприятий, учреждений и органов власти. Это результат общей работы по привлечению инвестиций, поддержке предпринимательства, обеспечению занятости населения и повышению качества жизни. В связи с этим: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 xml:space="preserve">- ежегодно на основе проведенного анализа показателей предшествующего периода формируется план мероприятий в экономике и социальной сфере по достижению </w:t>
      </w:r>
      <w:proofErr w:type="gramStart"/>
      <w:r w:rsidRPr="006121E3">
        <w:t>более положительной</w:t>
      </w:r>
      <w:proofErr w:type="gramEnd"/>
      <w:r w:rsidRPr="006121E3">
        <w:t xml:space="preserve"> динамики показателей и устранению негативных тенденций,</w:t>
      </w:r>
    </w:p>
    <w:p w:rsidR="00D63B6F" w:rsidRDefault="00D63B6F" w:rsidP="00D63B6F">
      <w:pPr>
        <w:autoSpaceDE w:val="0"/>
        <w:autoSpaceDN w:val="0"/>
        <w:adjustRightInd w:val="0"/>
        <w:jc w:val="both"/>
      </w:pPr>
      <w:r w:rsidRPr="006121E3">
        <w:t>- в целях усиления информационной работы с населением и повышения прозрачности своей деятельности через упрощение доступа граждан к информации о деятельности ОМСУ в текущем году продолжено расширение доступной информации на официальном сайте администрации и через завершение перевода муниципальных регламентированных услуг в электронный вид через структурные подразделения ОМСУ и МФЦ.</w:t>
      </w:r>
      <w:r>
        <w:br w:type="page"/>
      </w:r>
    </w:p>
    <w:p w:rsidR="00D63B6F" w:rsidRPr="006A52A4" w:rsidRDefault="00D63B6F" w:rsidP="00D63B6F">
      <w:pPr>
        <w:widowControl w:val="0"/>
        <w:autoSpaceDE w:val="0"/>
        <w:autoSpaceDN w:val="0"/>
        <w:adjustRightInd w:val="0"/>
        <w:jc w:val="right"/>
        <w:outlineLvl w:val="0"/>
      </w:pPr>
      <w:r w:rsidRPr="006A52A4">
        <w:lastRenderedPageBreak/>
        <w:t>Приложение 1</w:t>
      </w:r>
    </w:p>
    <w:p w:rsidR="002B3C5C" w:rsidRDefault="00D63B6F" w:rsidP="00D63B6F">
      <w:pPr>
        <w:widowControl w:val="0"/>
        <w:autoSpaceDE w:val="0"/>
        <w:autoSpaceDN w:val="0"/>
        <w:adjustRightInd w:val="0"/>
        <w:jc w:val="right"/>
      </w:pPr>
      <w:r w:rsidRPr="006A52A4">
        <w:t xml:space="preserve">к прогнозу Воскресенского муниципального района </w:t>
      </w:r>
    </w:p>
    <w:p w:rsidR="002B3C5C" w:rsidRDefault="00D63B6F" w:rsidP="002B3C5C">
      <w:pPr>
        <w:widowControl w:val="0"/>
        <w:autoSpaceDE w:val="0"/>
        <w:autoSpaceDN w:val="0"/>
        <w:adjustRightInd w:val="0"/>
        <w:jc w:val="right"/>
      </w:pPr>
      <w:r w:rsidRPr="006A52A4">
        <w:t>Нижегородской области</w:t>
      </w:r>
      <w:r w:rsidR="002B3C5C">
        <w:t xml:space="preserve"> </w:t>
      </w:r>
      <w:r w:rsidRPr="006A52A4">
        <w:t xml:space="preserve">на среднесрочный период </w:t>
      </w:r>
    </w:p>
    <w:p w:rsidR="00D63B6F" w:rsidRPr="006A52A4" w:rsidRDefault="00D63B6F" w:rsidP="002B3C5C">
      <w:pPr>
        <w:widowControl w:val="0"/>
        <w:autoSpaceDE w:val="0"/>
        <w:autoSpaceDN w:val="0"/>
        <w:adjustRightInd w:val="0"/>
        <w:jc w:val="right"/>
      </w:pPr>
      <w:r w:rsidRPr="006A52A4">
        <w:t>(на 202</w:t>
      </w:r>
      <w:r>
        <w:t>1</w:t>
      </w:r>
      <w:r w:rsidRPr="006A52A4">
        <w:t xml:space="preserve"> год и на плановый период 202</w:t>
      </w:r>
      <w:r>
        <w:t>2</w:t>
      </w:r>
      <w:r w:rsidRPr="006A52A4">
        <w:t xml:space="preserve"> и 202</w:t>
      </w:r>
      <w:r>
        <w:t>3</w:t>
      </w:r>
      <w:r>
        <w:t xml:space="preserve"> годов)</w:t>
      </w:r>
    </w:p>
    <w:p w:rsidR="00D63B6F" w:rsidRPr="006A52A4" w:rsidRDefault="00D63B6F" w:rsidP="00D63B6F">
      <w:pPr>
        <w:widowControl w:val="0"/>
        <w:autoSpaceDE w:val="0"/>
        <w:autoSpaceDN w:val="0"/>
        <w:adjustRightInd w:val="0"/>
        <w:ind w:left="5760"/>
        <w:outlineLvl w:val="0"/>
      </w:pPr>
    </w:p>
    <w:p w:rsidR="00D63B6F" w:rsidRPr="00D63B6F" w:rsidRDefault="00D63B6F" w:rsidP="00D63B6F">
      <w:pPr>
        <w:jc w:val="center"/>
        <w:rPr>
          <w:b/>
        </w:rPr>
      </w:pPr>
      <w:r w:rsidRPr="00D63B6F">
        <w:rPr>
          <w:b/>
          <w:bCs/>
          <w:iCs/>
        </w:rPr>
        <w:t xml:space="preserve">Основные параметры прогноза социально-экономического развития Нижегородской области </w:t>
      </w:r>
      <w:r w:rsidRPr="00D63B6F">
        <w:rPr>
          <w:b/>
        </w:rPr>
        <w:t>на среднесрочный период</w:t>
      </w:r>
      <w:r w:rsidRPr="00D63B6F">
        <w:rPr>
          <w:b/>
        </w:rPr>
        <w:t xml:space="preserve"> </w:t>
      </w:r>
      <w:r w:rsidRPr="00D63B6F">
        <w:rPr>
          <w:b/>
        </w:rPr>
        <w:t xml:space="preserve">(на 2021 год и на плановый период 2022 и 2023 годов)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1290"/>
        <w:gridCol w:w="1383"/>
        <w:gridCol w:w="876"/>
        <w:gridCol w:w="936"/>
        <w:gridCol w:w="936"/>
        <w:gridCol w:w="936"/>
      </w:tblGrid>
      <w:tr w:rsidR="00D63B6F" w:rsidRPr="008031F2" w:rsidTr="00B42506"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2019</w:t>
            </w:r>
          </w:p>
        </w:tc>
        <w:tc>
          <w:tcPr>
            <w:tcW w:w="0" w:type="auto"/>
            <w:gridSpan w:val="2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2020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2021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2022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2023</w:t>
            </w:r>
          </w:p>
        </w:tc>
      </w:tr>
      <w:tr w:rsidR="00D63B6F" w:rsidRPr="008031F2" w:rsidTr="00B42506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D63B6F" w:rsidRPr="008031F2" w:rsidRDefault="00D63B6F" w:rsidP="00B42506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факт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right"/>
              <w:rPr>
                <w:b/>
                <w:bCs/>
                <w:i/>
                <w:iCs/>
              </w:rPr>
            </w:pPr>
            <w:proofErr w:type="spellStart"/>
            <w:r w:rsidRPr="008031F2">
              <w:rPr>
                <w:b/>
                <w:bCs/>
                <w:i/>
                <w:iCs/>
              </w:rPr>
              <w:t>справочно</w:t>
            </w:r>
            <w:proofErr w:type="spellEnd"/>
            <w:r w:rsidRPr="008031F2">
              <w:rPr>
                <w:b/>
                <w:bCs/>
                <w:i/>
                <w:iCs/>
              </w:rPr>
              <w:t>:</w:t>
            </w:r>
            <w:r w:rsidRPr="008031F2">
              <w:rPr>
                <w:b/>
                <w:bCs/>
              </w:rPr>
              <w:br/>
              <w:t>прогн</w:t>
            </w:r>
            <w:bookmarkStart w:id="6" w:name="_GoBack"/>
            <w:r w:rsidRPr="008031F2">
              <w:rPr>
                <w:b/>
                <w:bCs/>
              </w:rPr>
              <w:t>о</w:t>
            </w:r>
            <w:bookmarkEnd w:id="6"/>
            <w:r w:rsidRPr="008031F2">
              <w:rPr>
                <w:b/>
                <w:bCs/>
              </w:rPr>
              <w:t>з</w:t>
            </w:r>
          </w:p>
        </w:tc>
        <w:tc>
          <w:tcPr>
            <w:tcW w:w="0" w:type="auto"/>
            <w:noWrap/>
            <w:vAlign w:val="center"/>
          </w:tcPr>
          <w:p w:rsidR="00D63B6F" w:rsidRPr="008031F2" w:rsidRDefault="00D63B6F" w:rsidP="00B42506">
            <w:pPr>
              <w:ind w:left="343" w:right="-97" w:hanging="533"/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оценка</w:t>
            </w:r>
          </w:p>
        </w:tc>
        <w:tc>
          <w:tcPr>
            <w:tcW w:w="0" w:type="auto"/>
            <w:gridSpan w:val="3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Прогноз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pPr>
              <w:ind w:left="-21" w:firstLine="21"/>
            </w:pPr>
            <w:r w:rsidRPr="008031F2">
              <w:rPr>
                <w:b/>
                <w:bCs/>
              </w:rPr>
              <w:t>Индекс потребительских цен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в среднем за год, </w:t>
            </w:r>
            <w:proofErr w:type="gramStart"/>
            <w:r w:rsidRPr="008031F2">
              <w:t>в</w:t>
            </w:r>
            <w:proofErr w:type="gramEnd"/>
            <w:r w:rsidRPr="008031F2">
              <w:t xml:space="preserve"> % </w:t>
            </w:r>
            <w:proofErr w:type="gramStart"/>
            <w:r w:rsidRPr="008031F2">
              <w:t>к</w:t>
            </w:r>
            <w:proofErr w:type="gramEnd"/>
            <w:r w:rsidRPr="008031F2">
              <w:t xml:space="preserve">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104,4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103-104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78"/>
              <w:jc w:val="center"/>
            </w:pPr>
            <w:r w:rsidRPr="008031F2">
              <w:t>103,9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78"/>
              <w:jc w:val="center"/>
            </w:pPr>
            <w:r w:rsidRPr="008031F2">
              <w:t>104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-21" w:firstLine="21"/>
              <w:jc w:val="center"/>
            </w:pPr>
            <w:r w:rsidRPr="008031F2">
              <w:t>104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pPr>
              <w:ind w:left="-21" w:firstLine="21"/>
            </w:pPr>
            <w:r w:rsidRPr="008031F2">
              <w:rPr>
                <w:b/>
                <w:bCs/>
              </w:rPr>
              <w:t>Валовой региональный продукт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proofErr w:type="gramStart"/>
            <w:r w:rsidRPr="008031F2">
              <w:t>млрд</w:t>
            </w:r>
            <w:proofErr w:type="gramEnd"/>
            <w:r w:rsidRPr="008031F2">
              <w:t xml:space="preserve">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1476,2</w:t>
            </w:r>
          </w:p>
          <w:p w:rsidR="00D63B6F" w:rsidRPr="008031F2" w:rsidRDefault="00D63B6F" w:rsidP="00B42506">
            <w:pPr>
              <w:jc w:val="center"/>
            </w:pPr>
            <w:r w:rsidRPr="008031F2">
              <w:t>(оценка)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1566,1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1371,6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1472,1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1578,4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1692,4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индекс физического объема, % к предыдущему году 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</w:t>
            </w:r>
          </w:p>
          <w:p w:rsidR="00D63B6F" w:rsidRPr="008031F2" w:rsidRDefault="00D63B6F" w:rsidP="00B42506">
            <w:pPr>
              <w:jc w:val="center"/>
            </w:pPr>
            <w:r w:rsidRPr="008031F2">
              <w:t>(оценка)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90,8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103,1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Продукция промышленности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Индекс промышленного производства, </w:t>
            </w:r>
          </w:p>
          <w:p w:rsidR="00D63B6F" w:rsidRPr="008031F2" w:rsidRDefault="00D63B6F" w:rsidP="00B42506">
            <w:r w:rsidRPr="008031F2">
              <w:t>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104,3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89,8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103,8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производствам, </w:t>
            </w:r>
            <w:proofErr w:type="gramStart"/>
            <w:r w:rsidRPr="008031F2">
              <w:t>млрд</w:t>
            </w:r>
            <w:proofErr w:type="gramEnd"/>
            <w:r w:rsidRPr="008031F2">
              <w:t xml:space="preserve">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1438,5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1611,9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1282,4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1 392,4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1 501,5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1 635,0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производства по обрабатывающим производствам,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89,0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104,2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Продукция сельского хозяйства во всех категориях хозяйств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в действующих ценах, </w:t>
            </w:r>
            <w:proofErr w:type="gramStart"/>
            <w:r w:rsidRPr="008031F2">
              <w:t>млрд</w:t>
            </w:r>
            <w:proofErr w:type="gramEnd"/>
            <w:r w:rsidRPr="008031F2">
              <w:t xml:space="preserve">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77,5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73,7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79,1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83,8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88,9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hanging="21"/>
              <w:jc w:val="center"/>
            </w:pPr>
            <w:r w:rsidRPr="008031F2">
              <w:t>94,8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физического объема,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hanging="21"/>
              <w:jc w:val="center"/>
            </w:pPr>
            <w:r w:rsidRPr="008031F2">
              <w:t>102,2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pPr>
              <w:ind w:hanging="21"/>
            </w:pPr>
            <w:r w:rsidRPr="008031F2">
              <w:rPr>
                <w:b/>
                <w:bCs/>
              </w:rPr>
              <w:t>Оборот розничной торговли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в действующих ценах, </w:t>
            </w:r>
            <w:proofErr w:type="gramStart"/>
            <w:r w:rsidRPr="008031F2">
              <w:t>млрд</w:t>
            </w:r>
            <w:proofErr w:type="gramEnd"/>
            <w:r w:rsidRPr="008031F2">
              <w:t xml:space="preserve">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780,7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824,8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749,5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812,2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867,5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926,6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физического объема,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104,2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102,8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Объем платных услуг населению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в действующих ценах, </w:t>
            </w:r>
            <w:proofErr w:type="gramStart"/>
            <w:r w:rsidRPr="008031F2">
              <w:t>млрд</w:t>
            </w:r>
            <w:proofErr w:type="gramEnd"/>
            <w:r w:rsidRPr="008031F2">
              <w:t xml:space="preserve">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194,9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207,2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180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198,4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213,4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229,2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физического объема,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89,2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106,1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Инвестиции в основной капитал за счет всех источников финансирования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в действующих ценах, </w:t>
            </w:r>
            <w:proofErr w:type="gramStart"/>
            <w:r w:rsidRPr="008031F2">
              <w:t>млрд</w:t>
            </w:r>
            <w:proofErr w:type="gramEnd"/>
            <w:r w:rsidRPr="008031F2">
              <w:t xml:space="preserve">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292,6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296,9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273,6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304,8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338,6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375,1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физического объема, % к году предыдущему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104,2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103-104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88,3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105,7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Объем работ, выполненных по виду деятельности "строительство"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физического объема,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114,4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100,9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93,8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103,7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Фонд заработной платы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lastRenderedPageBreak/>
              <w:t xml:space="preserve">в действующих ценах, </w:t>
            </w:r>
            <w:proofErr w:type="gramStart"/>
            <w:r w:rsidRPr="008031F2">
              <w:t>млрд</w:t>
            </w:r>
            <w:proofErr w:type="gramEnd"/>
            <w:r w:rsidRPr="008031F2">
              <w:t xml:space="preserve"> руб.</w:t>
            </w:r>
          </w:p>
        </w:tc>
        <w:tc>
          <w:tcPr>
            <w:tcW w:w="0" w:type="auto"/>
            <w:noWrap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524</w:t>
            </w:r>
          </w:p>
        </w:tc>
        <w:tc>
          <w:tcPr>
            <w:tcW w:w="0" w:type="auto"/>
            <w:noWrap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555,8</w:t>
            </w:r>
          </w:p>
        </w:tc>
        <w:tc>
          <w:tcPr>
            <w:tcW w:w="0" w:type="auto"/>
            <w:noWrap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495,8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537,9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573,9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615,3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темп роста в действующих ценах, </w:t>
            </w:r>
          </w:p>
          <w:p w:rsidR="00D63B6F" w:rsidRPr="008031F2" w:rsidRDefault="00D63B6F" w:rsidP="00B42506">
            <w:r w:rsidRPr="008031F2">
              <w:t>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107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94,6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108,5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106,7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107,2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Среднемесячная заработная плата (по полному кругу организаций)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рублей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35212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37950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-46" w:right="-109"/>
              <w:jc w:val="center"/>
            </w:pPr>
            <w:r w:rsidRPr="008031F2">
              <w:t>37000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35"/>
              <w:jc w:val="center"/>
            </w:pPr>
            <w:r w:rsidRPr="008031F2">
              <w:t>39830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35"/>
              <w:jc w:val="center"/>
            </w:pPr>
            <w:r w:rsidRPr="008031F2">
              <w:t>42250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45080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темп роста в действующих ценах,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106,9</w:t>
            </w:r>
          </w:p>
          <w:p w:rsidR="00D63B6F" w:rsidRPr="008031F2" w:rsidRDefault="00D63B6F" w:rsidP="00B42506">
            <w:pPr>
              <w:jc w:val="center"/>
            </w:pPr>
            <w:r w:rsidRPr="008031F2">
              <w:t>(</w:t>
            </w:r>
            <w:proofErr w:type="spellStart"/>
            <w:r w:rsidRPr="008031F2">
              <w:t>расчетно</w:t>
            </w:r>
            <w:proofErr w:type="spellEnd"/>
            <w:r w:rsidRPr="008031F2">
              <w:t>)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107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35"/>
              <w:jc w:val="center"/>
            </w:pPr>
            <w:r w:rsidRPr="008031F2">
              <w:t>107,6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35"/>
              <w:jc w:val="center"/>
            </w:pPr>
            <w:r w:rsidRPr="008031F2">
              <w:t>106,1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106,7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Темп роста реальной заработной платы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102,4</w:t>
            </w:r>
          </w:p>
          <w:p w:rsidR="00D63B6F" w:rsidRPr="008031F2" w:rsidRDefault="00D63B6F" w:rsidP="00B42506">
            <w:pPr>
              <w:jc w:val="center"/>
            </w:pPr>
            <w:r w:rsidRPr="008031F2">
              <w:t>(</w:t>
            </w:r>
            <w:proofErr w:type="spellStart"/>
            <w:r w:rsidRPr="008031F2">
              <w:t>расчетно</w:t>
            </w:r>
            <w:proofErr w:type="spellEnd"/>
            <w:r w:rsidRPr="008031F2">
              <w:t>)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102,6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Темп роста реальных денежных доходов населения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96,0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</w:t>
            </w:r>
          </w:p>
        </w:tc>
        <w:tc>
          <w:tcPr>
            <w:tcW w:w="0" w:type="auto"/>
          </w:tcPr>
          <w:p w:rsidR="00D63B6F" w:rsidRPr="008031F2" w:rsidRDefault="00D63B6F" w:rsidP="00B42506">
            <w:pPr>
              <w:jc w:val="center"/>
            </w:pPr>
            <w:r w:rsidRPr="008031F2">
              <w:t>102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102,6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Прибыль прибыльных организаций (по крупным и средним организациям)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в действующих ценах, </w:t>
            </w:r>
            <w:proofErr w:type="gramStart"/>
            <w:r w:rsidRPr="008031F2">
              <w:t>млрд</w:t>
            </w:r>
            <w:proofErr w:type="gramEnd"/>
            <w:r w:rsidRPr="008031F2">
              <w:t xml:space="preserve">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167,3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199,3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153,9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161,8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173,6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186,1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темп роста в действующих ценах, </w:t>
            </w:r>
          </w:p>
          <w:p w:rsidR="00D63B6F" w:rsidRPr="008031F2" w:rsidRDefault="00D63B6F" w:rsidP="00B42506">
            <w:r w:rsidRPr="008031F2">
              <w:t>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97,4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107,3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107,2</w:t>
            </w:r>
          </w:p>
        </w:tc>
      </w:tr>
    </w:tbl>
    <w:p w:rsidR="00D63B6F" w:rsidRPr="006121E3" w:rsidRDefault="00D63B6F" w:rsidP="00D63B6F">
      <w:pPr>
        <w:autoSpaceDE w:val="0"/>
        <w:autoSpaceDN w:val="0"/>
        <w:adjustRightInd w:val="0"/>
        <w:jc w:val="both"/>
      </w:pPr>
    </w:p>
    <w:p w:rsidR="00D63B6F" w:rsidRDefault="00D63B6F" w:rsidP="00D63B6F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br w:type="page"/>
      </w:r>
    </w:p>
    <w:p w:rsidR="00D63B6F" w:rsidRPr="006A52A4" w:rsidRDefault="00D63B6F" w:rsidP="00D63B6F">
      <w:pPr>
        <w:keepNext/>
        <w:ind w:left="2124" w:firstLine="708"/>
        <w:jc w:val="right"/>
        <w:outlineLvl w:val="0"/>
      </w:pPr>
      <w:r w:rsidRPr="006A52A4">
        <w:lastRenderedPageBreak/>
        <w:t>Приложение 2</w:t>
      </w:r>
    </w:p>
    <w:p w:rsidR="00D63B6F" w:rsidRPr="006A52A4" w:rsidRDefault="00D63B6F" w:rsidP="00D63B6F">
      <w:pPr>
        <w:widowControl w:val="0"/>
        <w:autoSpaceDE w:val="0"/>
        <w:autoSpaceDN w:val="0"/>
        <w:adjustRightInd w:val="0"/>
        <w:ind w:left="2124" w:firstLine="708"/>
        <w:jc w:val="right"/>
      </w:pPr>
      <w:r w:rsidRPr="006A52A4">
        <w:t>к прогнозу Воскресенского муниципального района</w:t>
      </w:r>
    </w:p>
    <w:p w:rsidR="00D63B6F" w:rsidRPr="006A52A4" w:rsidRDefault="00D63B6F" w:rsidP="00D63B6F">
      <w:pPr>
        <w:widowControl w:val="0"/>
        <w:autoSpaceDE w:val="0"/>
        <w:autoSpaceDN w:val="0"/>
        <w:adjustRightInd w:val="0"/>
        <w:ind w:left="2124" w:firstLine="708"/>
        <w:jc w:val="right"/>
      </w:pPr>
      <w:r w:rsidRPr="006A52A4">
        <w:t>Нижегородской области</w:t>
      </w:r>
    </w:p>
    <w:p w:rsidR="00D63B6F" w:rsidRDefault="00D63B6F" w:rsidP="00D63B6F">
      <w:pPr>
        <w:widowControl w:val="0"/>
        <w:autoSpaceDE w:val="0"/>
        <w:autoSpaceDN w:val="0"/>
        <w:adjustRightInd w:val="0"/>
        <w:ind w:left="2124" w:firstLine="708"/>
        <w:jc w:val="right"/>
        <w:outlineLvl w:val="0"/>
      </w:pPr>
      <w:proofErr w:type="gramStart"/>
      <w:r w:rsidRPr="006A52A4">
        <w:t>на среднесрочный период (на 202</w:t>
      </w:r>
      <w:r>
        <w:t>1</w:t>
      </w:r>
      <w:r w:rsidRPr="006A52A4">
        <w:t xml:space="preserve"> год и</w:t>
      </w:r>
      <w:r>
        <w:t xml:space="preserve"> </w:t>
      </w:r>
      <w:r w:rsidRPr="006A52A4">
        <w:t>на плановый</w:t>
      </w:r>
      <w:proofErr w:type="gramEnd"/>
    </w:p>
    <w:p w:rsidR="00D63B6F" w:rsidRPr="006A52A4" w:rsidRDefault="00D63B6F" w:rsidP="00D63B6F">
      <w:pPr>
        <w:widowControl w:val="0"/>
        <w:autoSpaceDE w:val="0"/>
        <w:autoSpaceDN w:val="0"/>
        <w:adjustRightInd w:val="0"/>
        <w:ind w:left="2124" w:firstLine="708"/>
        <w:jc w:val="right"/>
        <w:outlineLvl w:val="0"/>
      </w:pPr>
      <w:r w:rsidRPr="006A52A4">
        <w:t>период 202</w:t>
      </w:r>
      <w:r>
        <w:t>2</w:t>
      </w:r>
      <w:r w:rsidRPr="006A52A4">
        <w:t xml:space="preserve"> и 202</w:t>
      </w:r>
      <w:r>
        <w:t>3</w:t>
      </w:r>
      <w:r w:rsidRPr="006A52A4">
        <w:t xml:space="preserve"> годов)</w:t>
      </w:r>
      <w:r>
        <w:t xml:space="preserve"> </w:t>
      </w:r>
      <w:r w:rsidRPr="006A52A4">
        <w:t>и на период до 2024 года</w:t>
      </w:r>
    </w:p>
    <w:p w:rsidR="00D63B6F" w:rsidRPr="006A52A4" w:rsidRDefault="00D63B6F" w:rsidP="00D63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</w:pPr>
    </w:p>
    <w:p w:rsidR="00D63B6F" w:rsidRPr="002B3C5C" w:rsidRDefault="00D63B6F" w:rsidP="00D63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</w:rPr>
      </w:pPr>
      <w:r w:rsidRPr="002B3C5C">
        <w:rPr>
          <w:b/>
        </w:rPr>
        <w:t>Прогноз</w:t>
      </w:r>
    </w:p>
    <w:p w:rsidR="00D63B6F" w:rsidRDefault="00D63B6F" w:rsidP="00D63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</w:rPr>
      </w:pPr>
      <w:hyperlink w:anchor="P480" w:history="1">
        <w:r w:rsidRPr="002B3C5C">
          <w:rPr>
            <w:b/>
          </w:rPr>
          <w:t>основных социально-экономических показателей</w:t>
        </w:r>
      </w:hyperlink>
      <w:r w:rsidRPr="002B3C5C">
        <w:rPr>
          <w:b/>
        </w:rPr>
        <w:t xml:space="preserve"> на 2021 – 2023 годы по Воскресенскому муниципальному району нижегородской области</w:t>
      </w:r>
    </w:p>
    <w:p w:rsidR="002B3C5C" w:rsidRPr="002B3C5C" w:rsidRDefault="002B3C5C" w:rsidP="00D63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</w:rPr>
      </w:pPr>
    </w:p>
    <w:tbl>
      <w:tblPr>
        <w:tblW w:w="1077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851"/>
        <w:gridCol w:w="1134"/>
        <w:gridCol w:w="1134"/>
        <w:gridCol w:w="993"/>
        <w:gridCol w:w="1134"/>
        <w:gridCol w:w="1134"/>
        <w:gridCol w:w="1134"/>
      </w:tblGrid>
      <w:tr w:rsidR="00D63B6F" w:rsidRPr="008031F2" w:rsidTr="002B3C5C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2019 год 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 квартал 2020 года (отчет)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2020 год (оценка)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прогноз</w:t>
            </w:r>
          </w:p>
        </w:tc>
      </w:tr>
      <w:tr w:rsidR="00D63B6F" w:rsidRPr="008031F2" w:rsidTr="002B3C5C">
        <w:trPr>
          <w:trHeight w:val="84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F" w:rsidRPr="008031F2" w:rsidRDefault="00D63B6F" w:rsidP="002B3C5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2023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1.Отгружено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1697,71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404,08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1892,6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103,7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2.Отгружено товаров собственного производства, выполнено работ и услуг собственными силами (</w:t>
            </w:r>
            <w:proofErr w:type="gramStart"/>
            <w:r w:rsidRPr="008031F2">
              <w:t>по</w:t>
            </w:r>
            <w:proofErr w:type="gramEnd"/>
            <w:r w:rsidRPr="008031F2">
              <w:t xml:space="preserve"> крупным и средним предприятий)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66,1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100,8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 xml:space="preserve">в </w:t>
            </w:r>
            <w:proofErr w:type="spellStart"/>
            <w:r w:rsidRPr="008031F2">
              <w:t>т.ч</w:t>
            </w:r>
            <w:proofErr w:type="spellEnd"/>
            <w:r w:rsidRPr="008031F2">
              <w:t>. обрабатывающие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3.Производство спирта, алкогольной продукции и пива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4.Валовая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384,18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437,6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101,6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в том числе валовая продукция сельского хозяйства по сельскохозяйственным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lastRenderedPageBreak/>
              <w:t>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84,2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102,2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5.Численность работников по территории, формирующих 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тыс.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5,0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6.Фонд заработной платы,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1115,67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275,33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1405,8</w:t>
            </w:r>
          </w:p>
        </w:tc>
      </w:tr>
      <w:tr w:rsidR="00D63B6F" w:rsidRPr="008031F2" w:rsidTr="002B3C5C">
        <w:trPr>
          <w:trHeight w:val="5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7.Реальная заработная плата (всего по району)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102,6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8.Прибыль прибыльных организаций по кругу крупных и средних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0,37</w:t>
            </w:r>
          </w:p>
        </w:tc>
      </w:tr>
    </w:tbl>
    <w:p w:rsidR="00465E42" w:rsidRDefault="00465E42" w:rsidP="00D63B6F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</w:p>
    <w:sectPr w:rsidR="00465E42" w:rsidSect="00751805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55" w:rsidRDefault="00194855" w:rsidP="00751805">
      <w:r>
        <w:separator/>
      </w:r>
    </w:p>
  </w:endnote>
  <w:endnote w:type="continuationSeparator" w:id="0">
    <w:p w:rsidR="00194855" w:rsidRDefault="0019485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55" w:rsidRDefault="00194855" w:rsidP="00751805">
      <w:r>
        <w:separator/>
      </w:r>
    </w:p>
  </w:footnote>
  <w:footnote w:type="continuationSeparator" w:id="0">
    <w:p w:rsidR="00194855" w:rsidRDefault="0019485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5C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AF8"/>
    <w:rsid w:val="00143DC4"/>
    <w:rsid w:val="00146C2C"/>
    <w:rsid w:val="0015299B"/>
    <w:rsid w:val="00156AC2"/>
    <w:rsid w:val="00157A84"/>
    <w:rsid w:val="00194855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0964"/>
    <w:rsid w:val="00255964"/>
    <w:rsid w:val="0027179A"/>
    <w:rsid w:val="0028075B"/>
    <w:rsid w:val="00281AC0"/>
    <w:rsid w:val="00295942"/>
    <w:rsid w:val="002B3C5C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04AA6"/>
    <w:rsid w:val="00804AF0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D23B7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02B7D"/>
    <w:rsid w:val="00A16EF5"/>
    <w:rsid w:val="00A40AFC"/>
    <w:rsid w:val="00A45724"/>
    <w:rsid w:val="00A5067D"/>
    <w:rsid w:val="00A520DD"/>
    <w:rsid w:val="00A54935"/>
    <w:rsid w:val="00A63C2C"/>
    <w:rsid w:val="00A65157"/>
    <w:rsid w:val="00A83605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63B6F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36D74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D74"/>
    <w:pPr>
      <w:spacing w:after="120"/>
      <w:ind w:left="283"/>
    </w:pPr>
    <w:rPr>
      <w:rFonts w:ascii="Arial" w:eastAsia="Times New Roman" w:hAnsi="Arial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D74"/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D63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D74"/>
    <w:pPr>
      <w:spacing w:after="120"/>
      <w:ind w:left="283"/>
    </w:pPr>
    <w:rPr>
      <w:rFonts w:ascii="Arial" w:eastAsia="Times New Roman" w:hAnsi="Arial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D74"/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D63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7AFFEEAD2999177F9C3BCA78BA3AD6D88A53265F1436051AB83B412DFB6DACACE0849276E6ACAE71DE65DE5Dp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7AFFEEAD2999177F9C3BCA78BA3AD6D88A5326571139091BB3664B25A261AEABEFDB8571AFA0AF71DF6E5Dp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7AFFEEAD2999177F9C25C76ED665D3DE8709235A1534564FEC3D16725Ap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7AFFEEAD2999177F9C3BCA78BA3AD6D88A53265F1436051AB83B412DFB6DACACE0849276E6ACAE71DE65DE5Dp3M" TargetMode="External"/><Relationship Id="rId10" Type="http://schemas.openxmlformats.org/officeDocument/2006/relationships/hyperlink" Target="consultantplus://offline/ref=8B7AFFEEAD2999177F9C25C76ED665D3DE890B2C5D1634564FEC3D1672AB6BF9ECA082C735A0A7AC57p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E:\&#1052;&#1099;&#1088;&#1086;&#1074;&#1086;&#1081;%20%20&#1086;&#1090;%20&#1040;&#1075;&#1077;&#1077;&#1074;&#1086;&#1081;\&#1054;%20&#1087;&#1088;&#1086;&#1075;&#1085;&#1086;&#1079;&#1077;%20&#1085;&#1072;%202017-2019%20&#1075;&#1086;&#1076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47CE-31FB-4309-A634-20C2389D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2020-12-17T11:21:00Z</cp:lastPrinted>
  <dcterms:created xsi:type="dcterms:W3CDTF">2020-12-17T11:36:00Z</dcterms:created>
  <dcterms:modified xsi:type="dcterms:W3CDTF">2020-12-17T11:36:00Z</dcterms:modified>
</cp:coreProperties>
</file>